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  <w:lang w:val="en-US" w:eastAsia="zh-CN"/>
        </w:rPr>
        <w:t>蓬江分院</w:t>
      </w:r>
      <w:r>
        <w:rPr>
          <w:rFonts w:hint="eastAsia"/>
          <w:sz w:val="32"/>
          <w:szCs w:val="36"/>
        </w:rPr>
        <w:t>医用耗材</w:t>
      </w:r>
      <w:r>
        <w:rPr>
          <w:sz w:val="32"/>
          <w:szCs w:val="36"/>
        </w:rPr>
        <w:t>SPD物流平台建设项目</w:t>
      </w:r>
      <w:r>
        <w:rPr>
          <w:rFonts w:hint="eastAsia"/>
          <w:sz w:val="32"/>
          <w:szCs w:val="36"/>
        </w:rPr>
        <w:t>方案</w:t>
      </w:r>
    </w:p>
    <w:p>
      <w:pPr>
        <w:jc w:val="center"/>
        <w:rPr>
          <w:rFonts w:hint="eastAsia"/>
          <w:sz w:val="40"/>
          <w:szCs w:val="44"/>
        </w:rPr>
      </w:pPr>
    </w:p>
    <w:p>
      <w:pPr>
        <w:spacing w:line="440" w:lineRule="exact"/>
        <w:ind w:firstLine="480" w:firstLineChars="200"/>
        <w:rPr>
          <w:rFonts w:asciiTheme="minorEastAsia" w:hAnsiTheme="minorEastAsia"/>
          <w:spacing w:val="-2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>拟通过</w:t>
      </w:r>
      <w:r>
        <w:rPr>
          <w:rFonts w:asciiTheme="minorEastAsia" w:hAnsiTheme="minorEastAsia"/>
          <w:spacing w:val="-53"/>
          <w:sz w:val="24"/>
          <w:szCs w:val="24"/>
          <w:lang w:eastAsia="zh-CN"/>
        </w:rPr>
        <w:t xml:space="preserve"> </w:t>
      </w:r>
      <w:r>
        <w:rPr>
          <w:rFonts w:cs="仿宋" w:asciiTheme="minorEastAsia" w:hAnsiTheme="minorEastAsia"/>
          <w:spacing w:val="-3"/>
          <w:sz w:val="24"/>
          <w:szCs w:val="24"/>
          <w:lang w:eastAsia="zh-CN"/>
        </w:rPr>
        <w:t>S</w:t>
      </w:r>
      <w:r>
        <w:rPr>
          <w:rFonts w:cs="仿宋" w:asciiTheme="minorEastAsia" w:hAnsiTheme="minorEastAsia"/>
          <w:sz w:val="24"/>
          <w:szCs w:val="24"/>
          <w:lang w:eastAsia="zh-CN"/>
        </w:rPr>
        <w:t>PD</w:t>
      </w:r>
      <w:r>
        <w:rPr>
          <w:rFonts w:cs="仿宋" w:asciiTheme="minorEastAsia" w:hAnsiTheme="minorEastAsia"/>
          <w:spacing w:val="-53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的</w:t>
      </w:r>
      <w:r>
        <w:rPr>
          <w:rFonts w:asciiTheme="minorEastAsia" w:hAnsiTheme="minorEastAsia"/>
          <w:sz w:val="24"/>
          <w:szCs w:val="24"/>
          <w:lang w:eastAsia="zh-CN"/>
        </w:rPr>
        <w:t>服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务</w:t>
      </w:r>
      <w:r>
        <w:rPr>
          <w:rFonts w:asciiTheme="minorEastAsia" w:hAnsiTheme="minorEastAsia"/>
          <w:spacing w:val="-34"/>
          <w:sz w:val="24"/>
          <w:szCs w:val="24"/>
          <w:lang w:eastAsia="zh-CN"/>
        </w:rPr>
        <w:t>，提高</w:t>
      </w:r>
      <w:r>
        <w:rPr>
          <w:rFonts w:asciiTheme="minorEastAsia" w:hAnsiTheme="minorEastAsia"/>
          <w:sz w:val="24"/>
          <w:szCs w:val="24"/>
          <w:lang w:eastAsia="zh-CN"/>
        </w:rPr>
        <w:t>医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院医</w:t>
      </w:r>
      <w:r>
        <w:rPr>
          <w:rFonts w:asciiTheme="minorEastAsia" w:hAnsiTheme="minorEastAsia"/>
          <w:sz w:val="24"/>
          <w:szCs w:val="24"/>
          <w:lang w:eastAsia="zh-CN"/>
        </w:rPr>
        <w:t>用物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资</w:t>
      </w:r>
      <w:r>
        <w:rPr>
          <w:rFonts w:asciiTheme="minorEastAsia" w:hAnsiTheme="minorEastAsia"/>
          <w:sz w:val="24"/>
          <w:szCs w:val="24"/>
          <w:lang w:eastAsia="zh-CN"/>
        </w:rPr>
        <w:t>管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理</w:t>
      </w:r>
      <w:r>
        <w:rPr>
          <w:rFonts w:asciiTheme="minorEastAsia" w:hAnsiTheme="minorEastAsia"/>
          <w:sz w:val="24"/>
          <w:szCs w:val="24"/>
          <w:lang w:eastAsia="zh-CN"/>
        </w:rPr>
        <w:t>的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信</w:t>
      </w:r>
      <w:r>
        <w:rPr>
          <w:rFonts w:asciiTheme="minorEastAsia" w:hAnsiTheme="minorEastAsia"/>
          <w:sz w:val="24"/>
          <w:szCs w:val="24"/>
          <w:lang w:eastAsia="zh-CN"/>
        </w:rPr>
        <w:t>息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化</w:t>
      </w:r>
      <w:r>
        <w:rPr>
          <w:rFonts w:asciiTheme="minorEastAsia" w:hAnsiTheme="minorEastAsia"/>
          <w:spacing w:val="-34"/>
          <w:sz w:val="24"/>
          <w:szCs w:val="24"/>
          <w:lang w:eastAsia="zh-CN"/>
        </w:rPr>
        <w:t>、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数</w:t>
      </w:r>
      <w:r>
        <w:rPr>
          <w:rFonts w:asciiTheme="minorEastAsia" w:hAnsiTheme="minorEastAsia"/>
          <w:sz w:val="24"/>
          <w:szCs w:val="24"/>
          <w:lang w:eastAsia="zh-CN"/>
        </w:rPr>
        <w:t>字化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水</w:t>
      </w:r>
      <w:r>
        <w:rPr>
          <w:rFonts w:asciiTheme="minorEastAsia" w:hAnsiTheme="minorEastAsia"/>
          <w:sz w:val="24"/>
          <w:szCs w:val="24"/>
          <w:lang w:eastAsia="zh-CN"/>
        </w:rPr>
        <w:t>平</w:t>
      </w:r>
      <w:r>
        <w:rPr>
          <w:rFonts w:asciiTheme="minorEastAsia" w:hAnsiTheme="minorEastAsia"/>
          <w:spacing w:val="-34"/>
          <w:sz w:val="24"/>
          <w:szCs w:val="24"/>
          <w:lang w:eastAsia="zh-CN"/>
        </w:rPr>
        <w:t>，</w:t>
      </w:r>
      <w:r>
        <w:rPr>
          <w:rFonts w:asciiTheme="minorEastAsia" w:hAnsiTheme="minorEastAsia"/>
          <w:sz w:val="24"/>
          <w:szCs w:val="24"/>
          <w:lang w:eastAsia="zh-CN"/>
        </w:rPr>
        <w:t>提升医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用</w:t>
      </w:r>
      <w:r>
        <w:rPr>
          <w:rFonts w:asciiTheme="minorEastAsia" w:hAnsiTheme="minorEastAsia"/>
          <w:sz w:val="24"/>
          <w:szCs w:val="24"/>
          <w:lang w:eastAsia="zh-CN"/>
        </w:rPr>
        <w:t>物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资</w:t>
      </w:r>
      <w:r>
        <w:rPr>
          <w:rFonts w:asciiTheme="minorEastAsia" w:hAnsiTheme="minorEastAsia"/>
          <w:sz w:val="24"/>
          <w:szCs w:val="24"/>
          <w:lang w:eastAsia="zh-CN"/>
        </w:rPr>
        <w:t>整</w:t>
      </w:r>
      <w:r>
        <w:rPr>
          <w:rFonts w:asciiTheme="minorEastAsia" w:hAnsiTheme="minorEastAsia"/>
          <w:spacing w:val="-3"/>
          <w:sz w:val="24"/>
          <w:szCs w:val="24"/>
          <w:lang w:eastAsia="zh-CN"/>
        </w:rPr>
        <w:t>个</w:t>
      </w:r>
      <w:r>
        <w:rPr>
          <w:rFonts w:asciiTheme="minorEastAsia" w:hAnsiTheme="minorEastAsia"/>
          <w:sz w:val="24"/>
          <w:szCs w:val="24"/>
          <w:lang w:eastAsia="zh-CN"/>
        </w:rPr>
        <w:t>供</w:t>
      </w:r>
      <w:r>
        <w:rPr>
          <w:rFonts w:asciiTheme="minorEastAsia" w:hAnsiTheme="minorEastAsia"/>
          <w:spacing w:val="-2"/>
          <w:sz w:val="24"/>
          <w:szCs w:val="24"/>
          <w:lang w:eastAsia="zh-CN"/>
        </w:rPr>
        <w:t>应链条的工作效率、合规水平和管理水平。</w:t>
      </w:r>
    </w:p>
    <w:p>
      <w:pPr>
        <w:spacing w:line="440" w:lineRule="exact"/>
        <w:ind w:left="420"/>
        <w:rPr>
          <w:rFonts w:hint="eastAsia" w:asciiTheme="minorEastAsia" w:hAnsiTheme="minorEastAsia" w:eastAsiaTheme="minorEastAsia" w:cstheme="minorBidi"/>
          <w:b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spacing w:val="-1"/>
          <w:kern w:val="2"/>
          <w:sz w:val="24"/>
          <w:szCs w:val="24"/>
          <w:lang w:val="en-US" w:eastAsia="zh-CN" w:bidi="ar-SA"/>
        </w:rPr>
        <w:t>项目方案周期为：壹年</w:t>
      </w:r>
    </w:p>
    <w:tbl>
      <w:tblPr>
        <w:tblStyle w:val="8"/>
        <w:tblW w:w="8218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6"/>
        <w:gridCol w:w="1601"/>
        <w:gridCol w:w="27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 xml:space="preserve">名称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 xml:space="preserve">服务时间(年)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 xml:space="preserve">预算上限（万元）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 xml:space="preserve">SPD医用耗材管理系统服务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line="44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zh-CN"/>
              </w:rPr>
              <w:t xml:space="preserve">100 </w:t>
            </w:r>
          </w:p>
        </w:tc>
      </w:tr>
    </w:tbl>
    <w:p>
      <w:pPr>
        <w:spacing w:line="440" w:lineRule="exact"/>
        <w:ind w:left="420"/>
        <w:rPr>
          <w:rFonts w:hint="eastAsia" w:asciiTheme="minorEastAsia" w:hAnsiTheme="minorEastAsia" w:eastAsiaTheme="minorEastAsia" w:cstheme="minorBidi"/>
          <w:b/>
          <w:spacing w:val="-1"/>
          <w:kern w:val="2"/>
          <w:sz w:val="24"/>
          <w:szCs w:val="24"/>
          <w:lang w:val="en-US" w:eastAsia="zh-CN" w:bidi="ar-SA"/>
        </w:rPr>
      </w:pPr>
    </w:p>
    <w:p>
      <w:pPr>
        <w:pStyle w:val="3"/>
        <w:spacing w:line="440" w:lineRule="exact"/>
        <w:rPr>
          <w:rFonts w:asciiTheme="minorEastAsia" w:hAnsiTheme="minorEastAsia" w:eastAsiaTheme="minorEastAsia"/>
          <w:b/>
          <w:bCs/>
          <w:spacing w:val="-1"/>
          <w:lang w:eastAsia="zh-CN"/>
        </w:rPr>
      </w:pPr>
      <w:r>
        <w:rPr>
          <w:rFonts w:hint="eastAsia" w:asciiTheme="minorEastAsia" w:hAnsiTheme="minorEastAsia" w:eastAsiaTheme="minorEastAsia"/>
          <w:b/>
          <w:spacing w:val="-1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b/>
          <w:spacing w:val="-1"/>
          <w:lang w:eastAsia="zh-CN"/>
        </w:rPr>
        <w:t>、引入S</w:t>
      </w:r>
      <w:r>
        <w:rPr>
          <w:rFonts w:asciiTheme="minorEastAsia" w:hAnsiTheme="minorEastAsia" w:eastAsiaTheme="minorEastAsia"/>
          <w:b/>
          <w:spacing w:val="-1"/>
          <w:lang w:eastAsia="zh-CN"/>
        </w:rPr>
        <w:t>PD</w:t>
      </w:r>
      <w:r>
        <w:rPr>
          <w:rFonts w:hint="eastAsia" w:asciiTheme="minorEastAsia" w:hAnsiTheme="minorEastAsia" w:eastAsiaTheme="minorEastAsia"/>
          <w:b/>
          <w:spacing w:val="-1"/>
          <w:lang w:eastAsia="zh-CN"/>
        </w:rPr>
        <w:t>服务，实施医用物资全链条全生命周期管理</w:t>
      </w:r>
    </w:p>
    <w:p>
      <w:pPr>
        <w:spacing w:line="440" w:lineRule="exact"/>
        <w:ind w:firstLine="476" w:firstLineChars="200"/>
        <w:rPr>
          <w:rFonts w:asciiTheme="minorEastAsia" w:hAnsiTheme="minorEastAsia"/>
          <w:b/>
          <w:spacing w:val="-1"/>
          <w:sz w:val="24"/>
          <w:szCs w:val="24"/>
          <w:lang w:eastAsia="zh-CN"/>
        </w:rPr>
      </w:pPr>
      <w:r>
        <w:rPr>
          <w:rFonts w:asciiTheme="minorEastAsia" w:hAnsiTheme="minorEastAsia"/>
          <w:b/>
          <w:spacing w:val="-1"/>
          <w:sz w:val="24"/>
          <w:szCs w:val="24"/>
          <w:lang w:eastAsia="zh-CN"/>
        </w:rPr>
        <w:t xml:space="preserve">1.1 </w:t>
      </w:r>
      <w:r>
        <w:rPr>
          <w:rFonts w:hint="eastAsia" w:asciiTheme="minorEastAsia" w:hAnsiTheme="minorEastAsia"/>
          <w:b/>
          <w:spacing w:val="-1"/>
          <w:sz w:val="24"/>
          <w:szCs w:val="24"/>
          <w:lang w:eastAsia="zh-CN"/>
        </w:rPr>
        <w:t>、部署</w:t>
      </w:r>
      <w:r>
        <w:rPr>
          <w:rFonts w:asciiTheme="minorEastAsia" w:hAnsiTheme="minorEastAsia"/>
          <w:b/>
          <w:spacing w:val="-1"/>
          <w:sz w:val="24"/>
          <w:szCs w:val="24"/>
          <w:lang w:eastAsia="zh-CN"/>
        </w:rPr>
        <w:t>SPD</w:t>
      </w:r>
      <w:r>
        <w:rPr>
          <w:rFonts w:hint="eastAsia" w:asciiTheme="minorEastAsia" w:hAnsiTheme="minorEastAsia"/>
          <w:b/>
          <w:spacing w:val="-1"/>
          <w:sz w:val="24"/>
          <w:szCs w:val="24"/>
          <w:lang w:eastAsia="zh-CN"/>
        </w:rPr>
        <w:t>的整体管理系统，实现医用物资全链条全生命周期管理信息化。</w:t>
      </w:r>
    </w:p>
    <w:p>
      <w:pPr>
        <w:spacing w:line="440" w:lineRule="exact"/>
        <w:ind w:firstLine="476" w:firstLineChars="200"/>
        <w:rPr>
          <w:rFonts w:asciiTheme="minorEastAsia" w:hAnsiTheme="minorEastAsia"/>
          <w:b/>
          <w:spacing w:val="-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pacing w:val="-1"/>
          <w:sz w:val="24"/>
          <w:szCs w:val="24"/>
          <w:lang w:eastAsia="zh-CN"/>
        </w:rPr>
        <w:t>1</w:t>
      </w:r>
      <w:r>
        <w:rPr>
          <w:rFonts w:asciiTheme="minorEastAsia" w:hAnsiTheme="minorEastAsia"/>
          <w:b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b/>
          <w:spacing w:val="-1"/>
          <w:sz w:val="24"/>
          <w:szCs w:val="24"/>
          <w:lang w:eastAsia="zh-CN"/>
        </w:rPr>
        <w:t>2、协助划分中心库功能区域，配置必要的设施设备</w:t>
      </w:r>
      <w:r>
        <w:rPr>
          <w:rFonts w:asciiTheme="minorEastAsia" w:hAnsiTheme="minorEastAsia"/>
          <w:b/>
          <w:spacing w:val="-1"/>
          <w:sz w:val="24"/>
          <w:szCs w:val="24"/>
          <w:lang w:eastAsia="zh-CN"/>
        </w:rPr>
        <w:t>。</w:t>
      </w:r>
    </w:p>
    <w:p>
      <w:pPr>
        <w:spacing w:line="440" w:lineRule="exact"/>
        <w:ind w:firstLine="476" w:firstLineChars="200"/>
        <w:rPr>
          <w:rFonts w:asciiTheme="minorEastAsia" w:hAnsiTheme="minorEastAsia"/>
          <w:spacing w:val="-1"/>
          <w:sz w:val="24"/>
          <w:szCs w:val="24"/>
          <w:lang w:eastAsia="zh-CN"/>
        </w:rPr>
      </w:pPr>
      <w:r>
        <w:rPr>
          <w:rFonts w:hint="eastAsia" w:asciiTheme="minorEastAsia" w:hAnsiTheme="minorEastAsia"/>
          <w:spacing w:val="-1"/>
          <w:sz w:val="24"/>
          <w:szCs w:val="24"/>
          <w:lang w:eastAsia="zh-CN"/>
        </w:rPr>
        <w:t>为医院提供办公桌柜、</w:t>
      </w:r>
      <w:r>
        <w:rPr>
          <w:rFonts w:hint="eastAsia" w:asciiTheme="minorEastAsia" w:hAnsiTheme="minorEastAsia"/>
          <w:spacing w:val="-1"/>
          <w:sz w:val="24"/>
          <w:szCs w:val="24"/>
          <w:lang w:val="en-US" w:eastAsia="zh-CN"/>
        </w:rPr>
        <w:t>预计</w:t>
      </w:r>
      <w:r>
        <w:rPr>
          <w:rFonts w:hint="eastAsia" w:asciiTheme="minorEastAsia" w:hAnsiTheme="minorEastAsia"/>
          <w:b/>
          <w:bCs/>
          <w:spacing w:val="-1"/>
          <w:sz w:val="24"/>
          <w:szCs w:val="24"/>
          <w:highlight w:val="yellow"/>
          <w:u w:val="single"/>
          <w:lang w:val="en-US" w:eastAsia="zh-CN"/>
        </w:rPr>
        <w:t>25支</w:t>
      </w:r>
      <w:r>
        <w:rPr>
          <w:rFonts w:hint="eastAsia" w:asciiTheme="minorEastAsia" w:hAnsiTheme="minorEastAsia"/>
          <w:b/>
          <w:bCs/>
          <w:spacing w:val="-1"/>
          <w:sz w:val="24"/>
          <w:szCs w:val="24"/>
          <w:highlight w:val="yellow"/>
          <w:u w:val="single"/>
          <w:lang w:eastAsia="zh-CN"/>
        </w:rPr>
        <w:t>PDA等设施设备</w:t>
      </w:r>
      <w:r>
        <w:rPr>
          <w:rFonts w:hint="eastAsia" w:asciiTheme="minorEastAsia" w:hAnsiTheme="minorEastAsia"/>
          <w:spacing w:val="-1"/>
          <w:sz w:val="24"/>
          <w:szCs w:val="24"/>
          <w:lang w:eastAsia="zh-CN"/>
        </w:rPr>
        <w:t>，并提供保修和运维服务，确保其稳定高效运行。</w:t>
      </w:r>
    </w:p>
    <w:p>
      <w:pPr>
        <w:spacing w:line="440" w:lineRule="exact"/>
        <w:ind w:firstLine="476" w:firstLineChars="200"/>
        <w:rPr>
          <w:rFonts w:asciiTheme="minorEastAsia" w:hAnsiTheme="minorEastAsia"/>
          <w:b/>
          <w:spacing w:val="-1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pacing w:val="-1"/>
          <w:sz w:val="24"/>
          <w:szCs w:val="24"/>
          <w:lang w:eastAsia="zh-CN"/>
        </w:rPr>
        <w:t>1</w:t>
      </w:r>
      <w:r>
        <w:rPr>
          <w:rFonts w:asciiTheme="minorEastAsia" w:hAnsiTheme="minorEastAsia"/>
          <w:b/>
          <w:spacing w:val="-1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b/>
          <w:spacing w:val="-1"/>
          <w:sz w:val="24"/>
          <w:szCs w:val="24"/>
          <w:lang w:eastAsia="zh-CN"/>
        </w:rPr>
        <w:t>3</w:t>
      </w:r>
      <w:r>
        <w:rPr>
          <w:rFonts w:asciiTheme="minorEastAsia" w:hAnsiTheme="minorEastAsia"/>
          <w:b/>
          <w:spacing w:val="-1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/>
          <w:spacing w:val="-1"/>
          <w:sz w:val="24"/>
          <w:szCs w:val="24"/>
          <w:lang w:eastAsia="zh-CN"/>
        </w:rPr>
        <w:t>临床科室实施二级库管理</w:t>
      </w:r>
    </w:p>
    <w:p>
      <w:pPr>
        <w:pStyle w:val="3"/>
        <w:spacing w:line="440" w:lineRule="exact"/>
        <w:rPr>
          <w:rFonts w:asciiTheme="minorEastAsia" w:hAnsiTheme="minorEastAsia" w:eastAsiaTheme="minorEastAsia"/>
          <w:b/>
          <w:spacing w:val="-1"/>
          <w:lang w:eastAsia="zh-CN"/>
        </w:rPr>
      </w:pPr>
      <w:r>
        <w:rPr>
          <w:rFonts w:hint="eastAsia" w:asciiTheme="minorEastAsia" w:hAnsiTheme="minorEastAsia" w:eastAsiaTheme="minorEastAsia"/>
          <w:b/>
          <w:spacing w:val="-1"/>
          <w:lang w:eastAsia="zh-CN"/>
        </w:rPr>
        <w:t>2、实施医用物资自动化和可视化管理</w:t>
      </w:r>
    </w:p>
    <w:p>
      <w:pPr>
        <w:pStyle w:val="3"/>
        <w:spacing w:line="440" w:lineRule="exact"/>
        <w:rPr>
          <w:rFonts w:asciiTheme="minorEastAsia" w:hAnsiTheme="minorEastAsia" w:eastAsiaTheme="minorEastAsia"/>
          <w:b/>
          <w:spacing w:val="-1"/>
          <w:lang w:eastAsia="zh-CN"/>
        </w:rPr>
      </w:pPr>
      <w:r>
        <w:rPr>
          <w:rFonts w:asciiTheme="minorEastAsia" w:hAnsiTheme="minorEastAsia" w:eastAsiaTheme="minorEastAsia"/>
          <w:b/>
          <w:spacing w:val="-1"/>
          <w:lang w:eastAsia="zh-CN"/>
        </w:rPr>
        <w:t>3、增强人员和软硬件服务能力，深化服务水平</w:t>
      </w:r>
    </w:p>
    <w:p>
      <w:pPr>
        <w:spacing w:line="440" w:lineRule="exact"/>
        <w:ind w:firstLine="476" w:firstLineChars="200"/>
        <w:rPr>
          <w:rFonts w:asciiTheme="minorEastAsia" w:hAnsiTheme="minorEastAsia"/>
          <w:b/>
          <w:spacing w:val="-1"/>
          <w:sz w:val="24"/>
          <w:szCs w:val="24"/>
          <w:lang w:eastAsia="zh-CN"/>
        </w:rPr>
      </w:pPr>
      <w:r>
        <w:rPr>
          <w:rFonts w:asciiTheme="minorEastAsia" w:hAnsiTheme="minorEastAsia"/>
          <w:b/>
          <w:spacing w:val="-1"/>
          <w:sz w:val="24"/>
          <w:szCs w:val="24"/>
          <w:lang w:eastAsia="zh-CN"/>
        </w:rPr>
        <w:t>3.1、现场服务人员，提高服务宽度和深度。</w:t>
      </w:r>
    </w:p>
    <w:p>
      <w:pPr>
        <w:spacing w:line="440" w:lineRule="exact"/>
        <w:ind w:firstLine="476" w:firstLineChars="200"/>
        <w:rPr>
          <w:rFonts w:hint="eastAsia" w:asciiTheme="minorEastAsia" w:hAnsiTheme="minorEastAsia"/>
          <w:b/>
          <w:bCs/>
          <w:spacing w:val="-1"/>
          <w:sz w:val="24"/>
          <w:szCs w:val="24"/>
          <w:highlight w:val="yellow"/>
          <w:u w:val="single"/>
          <w:lang w:eastAsia="zh-CN"/>
        </w:rPr>
      </w:pPr>
      <w:r>
        <w:rPr>
          <w:rFonts w:hint="eastAsia" w:asciiTheme="minorEastAsia" w:hAnsiTheme="minorEastAsia"/>
          <w:b/>
          <w:bCs/>
          <w:spacing w:val="-1"/>
          <w:sz w:val="24"/>
          <w:szCs w:val="24"/>
          <w:highlight w:val="yellow"/>
          <w:u w:val="single"/>
          <w:lang w:val="en-US" w:eastAsia="zh-CN"/>
        </w:rPr>
        <w:t>预计</w:t>
      </w:r>
      <w:r>
        <w:rPr>
          <w:rFonts w:hint="eastAsia" w:asciiTheme="minorEastAsia" w:hAnsiTheme="minorEastAsia"/>
          <w:b/>
          <w:bCs/>
          <w:spacing w:val="-1"/>
          <w:sz w:val="24"/>
          <w:szCs w:val="24"/>
          <w:highlight w:val="yellow"/>
          <w:u w:val="single"/>
          <w:lang w:eastAsia="zh-CN"/>
        </w:rPr>
        <w:t>SPD 服务人员：</w:t>
      </w:r>
      <w:r>
        <w:rPr>
          <w:rFonts w:hint="eastAsia" w:asciiTheme="minorEastAsia" w:hAnsiTheme="minorEastAsia"/>
          <w:b/>
          <w:bCs/>
          <w:spacing w:val="-1"/>
          <w:sz w:val="24"/>
          <w:szCs w:val="24"/>
          <w:highlight w:val="yellow"/>
          <w:u w:val="single"/>
          <w:lang w:val="en-US" w:eastAsia="zh-CN"/>
        </w:rPr>
        <w:t>9</w:t>
      </w:r>
      <w:r>
        <w:rPr>
          <w:rFonts w:hint="eastAsia" w:asciiTheme="minorEastAsia" w:hAnsiTheme="minorEastAsia"/>
          <w:b/>
          <w:bCs/>
          <w:spacing w:val="-1"/>
          <w:sz w:val="24"/>
          <w:szCs w:val="24"/>
          <w:highlight w:val="yellow"/>
          <w:u w:val="single"/>
          <w:lang w:eastAsia="zh-CN"/>
        </w:rPr>
        <w:t>名。</w:t>
      </w:r>
      <w:bookmarkStart w:id="0" w:name="_GoBack"/>
      <w:bookmarkEnd w:id="0"/>
    </w:p>
    <w:p>
      <w:pPr>
        <w:spacing w:line="440" w:lineRule="exact"/>
        <w:ind w:firstLine="476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b/>
          <w:spacing w:val="-1"/>
          <w:sz w:val="24"/>
          <w:szCs w:val="24"/>
          <w:lang w:eastAsia="zh-CN"/>
        </w:rPr>
        <w:t>3.2、配置高值耗材智能柜，提高高值耗材智能化管理水平。</w:t>
      </w:r>
    </w:p>
    <w:p>
      <w:pPr>
        <w:spacing w:before="104" w:line="440" w:lineRule="exact"/>
        <w:ind w:left="118" w:right="101" w:firstLine="480"/>
        <w:jc w:val="both"/>
        <w:rPr>
          <w:rFonts w:cs="仿宋" w:asciiTheme="minorEastAsia" w:hAnsiTheme="minorEastAsia"/>
          <w:spacing w:val="-2"/>
          <w:sz w:val="24"/>
          <w:szCs w:val="24"/>
          <w:lang w:eastAsia="zh-CN"/>
        </w:rPr>
      </w:pPr>
      <w:r>
        <w:rPr>
          <w:rFonts w:hint="eastAsia" w:cs="仿宋" w:asciiTheme="minorEastAsia" w:hAnsiTheme="minorEastAsia"/>
          <w:spacing w:val="-3"/>
          <w:sz w:val="24"/>
          <w:szCs w:val="24"/>
          <w:lang w:val="en-US" w:eastAsia="zh-CN"/>
        </w:rPr>
        <w:t>预计</w:t>
      </w:r>
      <w:r>
        <w:rPr>
          <w:rFonts w:cs="仿宋" w:asciiTheme="minorEastAsia" w:hAnsiTheme="minorEastAsia"/>
          <w:b/>
          <w:bCs/>
          <w:sz w:val="24"/>
          <w:szCs w:val="24"/>
          <w:highlight w:val="yellow"/>
          <w:u w:val="single"/>
          <w:lang w:eastAsia="zh-CN"/>
        </w:rPr>
        <w:t>配置</w:t>
      </w:r>
      <w:r>
        <w:rPr>
          <w:rFonts w:cs="仿宋" w:asciiTheme="minorEastAsia" w:hAnsiTheme="minorEastAsia"/>
          <w:b/>
          <w:bCs/>
          <w:spacing w:val="1"/>
          <w:sz w:val="24"/>
          <w:szCs w:val="24"/>
          <w:highlight w:val="yellow"/>
          <w:u w:val="single"/>
          <w:lang w:eastAsia="zh-CN"/>
        </w:rPr>
        <w:t>高值耗材管理智能柜</w:t>
      </w:r>
      <w:r>
        <w:rPr>
          <w:rFonts w:hint="eastAsia" w:cs="仿宋" w:asciiTheme="minorEastAsia" w:hAnsiTheme="minorEastAsia"/>
          <w:b/>
          <w:bCs/>
          <w:spacing w:val="1"/>
          <w:sz w:val="24"/>
          <w:szCs w:val="24"/>
          <w:highlight w:val="yellow"/>
          <w:u w:val="single"/>
          <w:lang w:val="en-US" w:eastAsia="zh-CN"/>
        </w:rPr>
        <w:t>2</w:t>
      </w:r>
      <w:r>
        <w:rPr>
          <w:rFonts w:cs="仿宋" w:asciiTheme="minorEastAsia" w:hAnsiTheme="minorEastAsia"/>
          <w:b/>
          <w:bCs/>
          <w:spacing w:val="1"/>
          <w:sz w:val="24"/>
          <w:szCs w:val="24"/>
          <w:highlight w:val="yellow"/>
          <w:u w:val="single"/>
          <w:lang w:eastAsia="zh-CN"/>
        </w:rPr>
        <w:t>个</w:t>
      </w:r>
      <w:r>
        <w:rPr>
          <w:rFonts w:cs="仿宋" w:asciiTheme="minorEastAsia" w:hAnsiTheme="minorEastAsia"/>
          <w:spacing w:val="-2"/>
          <w:sz w:val="24"/>
          <w:szCs w:val="24"/>
          <w:lang w:eastAsia="zh-CN"/>
        </w:rPr>
        <w:t>。</w:t>
      </w:r>
    </w:p>
    <w:p>
      <w:pPr>
        <w:ind w:left="420" w:firstLine="420"/>
        <w:rPr>
          <w:sz w:val="24"/>
          <w:szCs w:val="28"/>
        </w:rPr>
      </w:pP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二、供应商资格条件: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符合《中华人民共和国政府采购法》第二十二条的规定，注册经营项目与采购内容相关，有能力提供本次工程与服务的供应商。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(1)法定代表人/负责人资格证明书。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(2)法定代表人/负责人授权委托书(法人、工作人员身份证复印件)。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(3)服务商资质(有效的医疗器械经营许可证、营业执照、税务登记证、组织机构代码证)。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(4)投标人没有被列入失信被执行人、重大税收违法案件当事人名单、政府采购、环境保护、知识产权等领域严重违法失信行为记录名单(根据信用中国网站(www.creditchina.gov.cn)主体信用记录信息查询，要求打印查询截图并盖章)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(5)投标人出具声明函，声明内容为单位负责人为同一人或者存在控股、管理关系的不同单位，不得参加同一包号投标或者未划分包号的同一招标项目投标。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(6)本项目不接收联合体投标。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(7)服务商认为需要提供的其他相关资料。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三、供应商报名需提交纸质资料并加盖公章，资料完整方为有效报名：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1、服务方案一览表，包括但不限于以下内容：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（1）项目联系人及联系方式；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（2）SPD项目建设思路、建设内容、预期效果；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（3）方案优势(突出功能、技术、服务能力、项目交接、运营管理培训方式等)；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（4）运作模式(医院、厂家或供应商、SPD服务商三方的协同平台运营模式，费用解决方式等)；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（5）SPD 软件创新开发、信息库、数据中心建设能力；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（6）提供服务的用户业绩名单，服务实施成功案例；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2、产品相关的生产、代理或经销资格证明；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3、服务商资质(有效的医疗器械经营许可证、营业执照、税务登记证、组织机构代码证)；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4、国家企业信用信息公示系统的信用记录查询结果。（http://www.gsxt.gov.cn/index.html）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5、需提供两份国内三甲医院相关产品的采购合同（附有配置清单）或发票复印件（参考发票必须附上“国家税务总局全国增值税发票查询平台”的查询结果）等其他价格参考佐证材料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四、报名时间及流程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>1、报名时间：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自公告起，五工作日</w:t>
      </w:r>
      <w:r>
        <w:rPr>
          <w:rFonts w:asciiTheme="minorEastAsia" w:hAnsiTheme="minorEastAsia"/>
          <w:sz w:val="24"/>
          <w:szCs w:val="24"/>
          <w:lang w:eastAsia="zh-CN"/>
        </w:rPr>
        <w:t>每天（节假日除外）上午8:00-12:00，下午2:30-5: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/>
          <w:sz w:val="24"/>
          <w:szCs w:val="24"/>
          <w:lang w:eastAsia="zh-CN"/>
        </w:rPr>
        <w:t xml:space="preserve">0。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2、报名流程（以下两点均需完成方为报名成功）：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（1）以“公司名称+项目名称”格式编辑邮件，并把报名资料电子版扫描件发送至185066901@qq.com，作为报名凭证；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（2）纸质材料在报名时间内送至信息科（地点：江门市蓬江区天福路6号门诊4楼信息科）。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五、论证时间及地点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资格审定通过后，时间及地点另行通知。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六、联系方式 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联系人：梁老师 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/>
          <w:sz w:val="24"/>
          <w:szCs w:val="24"/>
          <w:lang w:eastAsia="zh-CN"/>
        </w:rPr>
        <w:t xml:space="preserve">联系电话：0750-39203101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3440C"/>
    <w:multiLevelType w:val="multilevel"/>
    <w:tmpl w:val="5A13440C"/>
    <w:lvl w:ilvl="0" w:tentative="0">
      <w:start w:val="1"/>
      <w:numFmt w:val="bullet"/>
      <w:pStyle w:val="12"/>
      <w:lvlText w:val=""/>
      <w:lvlJc w:val="left"/>
      <w:pPr>
        <w:ind w:left="95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TY1Yzk1ZWMxMDBlZTQ2MWMwMTUyOWM3MjZmOWIifQ=="/>
  </w:docVars>
  <w:rsids>
    <w:rsidRoot w:val="004E6C5D"/>
    <w:rsid w:val="00193AFA"/>
    <w:rsid w:val="004E6C5D"/>
    <w:rsid w:val="007A74DD"/>
    <w:rsid w:val="008E5ACF"/>
    <w:rsid w:val="00CD1A1D"/>
    <w:rsid w:val="189936EA"/>
    <w:rsid w:val="26A26CB4"/>
    <w:rsid w:val="27A74EBE"/>
    <w:rsid w:val="5BF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440" w:lineRule="exact"/>
      <w:ind w:left="118" w:firstLine="558"/>
      <w:outlineLvl w:val="0"/>
    </w:pPr>
    <w:rPr>
      <w:rFonts w:ascii="微软雅黑" w:hAnsi="微软雅黑" w:eastAsia="微软雅黑"/>
      <w:b/>
      <w:bCs/>
      <w:sz w:val="28"/>
      <w:szCs w:val="24"/>
      <w:lang w:eastAsia="zh-CN"/>
    </w:rPr>
  </w:style>
  <w:style w:type="paragraph" w:styleId="3">
    <w:name w:val="heading 2"/>
    <w:basedOn w:val="1"/>
    <w:unhideWhenUsed/>
    <w:qFormat/>
    <w:uiPriority w:val="9"/>
    <w:pPr>
      <w:ind w:left="118"/>
      <w:outlineLvl w:val="1"/>
    </w:pPr>
    <w:rPr>
      <w:rFonts w:ascii="等线" w:hAnsi="等线" w:eastAsia="等线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8" w:firstLine="420"/>
    </w:pPr>
    <w:rPr>
      <w:rFonts w:ascii="仿宋" w:hAnsi="仿宋" w:eastAsia="仿宋"/>
      <w:sz w:val="21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sz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1"/>
    <w:pPr>
      <w:numPr>
        <w:ilvl w:val="0"/>
        <w:numId w:val="1"/>
      </w:numPr>
      <w:tabs>
        <w:tab w:val="left" w:pos="958"/>
      </w:tabs>
      <w:adjustRightInd w:val="0"/>
      <w:spacing w:line="440" w:lineRule="exact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368</Characters>
  <Lines>5</Lines>
  <Paragraphs>1</Paragraphs>
  <TotalTime>58</TotalTime>
  <ScaleCrop>false</ScaleCrop>
  <LinksUpToDate>false</LinksUpToDate>
  <CharactersWithSpaces>372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2024-04-10T01:04:00Z</dcterms:created>
  <dc:creator>健文 梁</dc:creator>
  <cp:lastModifiedBy>Man伟</cp:lastModifiedBy>
  <dcterms:modified xsi:type="dcterms:W3CDTF">2024-07-17T09:18:02Z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CAD95649949142AD9A2F449ED2DF8859_13</vt:lpwstr>
  </property>
</Properties>
</file>