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C7" w:rsidRDefault="00420AA9">
      <w:pPr>
        <w:spacing w:line="520" w:lineRule="exact"/>
        <w:ind w:firstLineChars="200" w:firstLine="560"/>
        <w:jc w:val="left"/>
        <w:rPr>
          <w:rFonts w:ascii="黑体" w:eastAsia="仿宋_GB2312" w:hAnsi="黑体" w:cs="Times New Roman"/>
          <w:sz w:val="28"/>
          <w:szCs w:val="28"/>
        </w:rPr>
      </w:pPr>
      <w:bookmarkStart w:id="0" w:name="_GoBack"/>
      <w:bookmarkEnd w:id="0"/>
      <w:r>
        <w:rPr>
          <w:rFonts w:ascii="仿宋_GB2312" w:eastAsia="仿宋_GB2312" w:cs="Times New Roman" w:hint="eastAsia"/>
          <w:sz w:val="28"/>
          <w:szCs w:val="28"/>
        </w:rPr>
        <w:t>附件</w:t>
      </w:r>
      <w:r>
        <w:rPr>
          <w:rFonts w:ascii="仿宋_GB2312" w:eastAsia="仿宋_GB2312" w:cs="Times New Roman" w:hint="eastAsia"/>
          <w:sz w:val="28"/>
          <w:szCs w:val="28"/>
        </w:rPr>
        <w:t>1.</w:t>
      </w:r>
    </w:p>
    <w:p w:rsidR="009562C7" w:rsidRDefault="00420AA9">
      <w:pPr>
        <w:spacing w:line="520" w:lineRule="exact"/>
        <w:ind w:firstLineChars="200" w:firstLine="560"/>
        <w:jc w:val="center"/>
        <w:rPr>
          <w:rFonts w:ascii="黑体" w:eastAsia="黑体" w:hAnsi="黑体" w:cs="Times New Roman"/>
          <w:sz w:val="28"/>
          <w:szCs w:val="28"/>
        </w:rPr>
      </w:pPr>
      <w:r>
        <w:rPr>
          <w:rFonts w:ascii="黑体" w:eastAsia="黑体" w:hAnsi="黑体" w:cs="Times New Roman" w:hint="eastAsia"/>
          <w:sz w:val="28"/>
          <w:szCs w:val="28"/>
        </w:rPr>
        <w:t>江门市中心医院蓬江分院</w:t>
      </w:r>
      <w:r>
        <w:rPr>
          <w:rFonts w:ascii="黑体" w:eastAsia="黑体" w:hAnsi="黑体" w:cs="Times New Roman" w:hint="eastAsia"/>
          <w:sz w:val="28"/>
          <w:szCs w:val="28"/>
        </w:rPr>
        <w:t>（江门市第二人民医院）</w:t>
      </w:r>
      <w:r>
        <w:rPr>
          <w:rFonts w:ascii="黑体" w:eastAsia="黑体" w:hAnsi="黑体" w:cs="Times New Roman" w:hint="eastAsia"/>
          <w:sz w:val="28"/>
          <w:szCs w:val="28"/>
        </w:rPr>
        <w:t>采购代理机构遴选评分标准</w:t>
      </w:r>
    </w:p>
    <w:p w:rsidR="009562C7" w:rsidRDefault="009562C7">
      <w:pPr>
        <w:spacing w:line="520" w:lineRule="exact"/>
        <w:ind w:firstLineChars="200" w:firstLine="560"/>
        <w:jc w:val="left"/>
        <w:rPr>
          <w:rFonts w:ascii="黑体" w:eastAsia="黑体" w:hAnsi="黑体" w:cs="Times New Roman"/>
          <w:sz w:val="28"/>
          <w:szCs w:val="28"/>
        </w:rPr>
      </w:pPr>
    </w:p>
    <w:tbl>
      <w:tblPr>
        <w:tblStyle w:val="a7"/>
        <w:tblW w:w="8658" w:type="dxa"/>
        <w:tblLook w:val="04A0" w:firstRow="1" w:lastRow="0" w:firstColumn="1" w:lastColumn="0" w:noHBand="0" w:noVBand="1"/>
      </w:tblPr>
      <w:tblGrid>
        <w:gridCol w:w="807"/>
        <w:gridCol w:w="2243"/>
        <w:gridCol w:w="798"/>
        <w:gridCol w:w="4810"/>
      </w:tblGrid>
      <w:tr w:rsidR="009562C7">
        <w:trPr>
          <w:trHeight w:val="629"/>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序号</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评审项目</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分值</w:t>
            </w:r>
          </w:p>
        </w:tc>
        <w:tc>
          <w:tcPr>
            <w:tcW w:w="4810"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评审细则</w:t>
            </w:r>
          </w:p>
        </w:tc>
      </w:tr>
      <w:tr w:rsidR="009562C7">
        <w:trPr>
          <w:trHeight w:val="1577"/>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1</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代理服务方案</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10</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采购代理服务方案专业规范，可操作性高，有详细完成的采购代理难点分析及质疑投诉应对措施，以及协助采购人对采购内控管理工作。进行横向对比，在</w:t>
            </w:r>
            <w:r>
              <w:rPr>
                <w:rFonts w:ascii="仿宋_GB2312" w:eastAsia="仿宋_GB2312" w:hAnsi="仿宋" w:cs="仿宋" w:hint="eastAsia"/>
                <w:kern w:val="0"/>
                <w:sz w:val="24"/>
                <w:szCs w:val="24"/>
              </w:rPr>
              <w:t>10</w:t>
            </w:r>
            <w:r>
              <w:rPr>
                <w:rFonts w:ascii="仿宋_GB2312" w:eastAsia="仿宋_GB2312" w:hAnsi="仿宋" w:cs="仿宋" w:hint="eastAsia"/>
                <w:kern w:val="0"/>
                <w:sz w:val="24"/>
                <w:szCs w:val="24"/>
              </w:rPr>
              <w:t>-0</w:t>
            </w:r>
            <w:r>
              <w:rPr>
                <w:rFonts w:ascii="仿宋_GB2312" w:eastAsia="仿宋_GB2312" w:hAnsi="仿宋" w:cs="仿宋" w:hint="eastAsia"/>
                <w:kern w:val="0"/>
                <w:sz w:val="24"/>
                <w:szCs w:val="24"/>
              </w:rPr>
              <w:t>之间评分。</w:t>
            </w:r>
          </w:p>
        </w:tc>
      </w:tr>
      <w:tr w:rsidR="009562C7">
        <w:trPr>
          <w:trHeight w:val="1577"/>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2</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管理制度、业务规范</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10</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代理机构有完善的管理制度及专业规范的业务操作流程，对比代理机构内部经营管理制度、业务操作规范等。进行横向对比，在</w:t>
            </w:r>
            <w:r>
              <w:rPr>
                <w:rFonts w:ascii="仿宋_GB2312" w:eastAsia="仿宋_GB2312" w:hAnsi="仿宋" w:cs="仿宋" w:hint="eastAsia"/>
                <w:kern w:val="0"/>
                <w:sz w:val="24"/>
                <w:szCs w:val="24"/>
              </w:rPr>
              <w:t>10-0</w:t>
            </w:r>
            <w:r>
              <w:rPr>
                <w:rFonts w:ascii="仿宋_GB2312" w:eastAsia="仿宋_GB2312" w:hAnsi="仿宋" w:cs="仿宋" w:hint="eastAsia"/>
                <w:kern w:val="0"/>
                <w:sz w:val="24"/>
                <w:szCs w:val="24"/>
              </w:rPr>
              <w:t>之间评分。</w:t>
            </w:r>
          </w:p>
        </w:tc>
      </w:tr>
      <w:tr w:rsidR="009562C7">
        <w:trPr>
          <w:trHeight w:val="3402"/>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3</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信用、认证水平</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10</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获得政府相关部门授予的“守合同重信用”证书的，得</w:t>
            </w: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分，如获得连续</w:t>
            </w:r>
            <w:r>
              <w:rPr>
                <w:rFonts w:ascii="仿宋_GB2312" w:eastAsia="仿宋_GB2312" w:hAnsi="仿宋" w:cs="仿宋" w:hint="eastAsia"/>
                <w:kern w:val="0"/>
                <w:sz w:val="24"/>
                <w:szCs w:val="24"/>
              </w:rPr>
              <w:t>10</w:t>
            </w:r>
            <w:r>
              <w:rPr>
                <w:rFonts w:ascii="仿宋_GB2312" w:eastAsia="仿宋_GB2312" w:hAnsi="仿宋" w:cs="仿宋" w:hint="eastAsia"/>
                <w:kern w:val="0"/>
                <w:sz w:val="24"/>
                <w:szCs w:val="24"/>
              </w:rPr>
              <w:t>年以上“守合同重信用”证书或获得其他国家级证书的加</w:t>
            </w: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分，最高可得</w:t>
            </w:r>
            <w:r>
              <w:rPr>
                <w:rFonts w:ascii="仿宋_GB2312" w:eastAsia="仿宋_GB2312" w:hAnsi="仿宋" w:cs="仿宋" w:hint="eastAsia"/>
                <w:kern w:val="0"/>
                <w:sz w:val="24"/>
                <w:szCs w:val="24"/>
              </w:rPr>
              <w:t>4</w:t>
            </w:r>
            <w:r>
              <w:rPr>
                <w:rFonts w:ascii="仿宋_GB2312" w:eastAsia="仿宋_GB2312" w:hAnsi="仿宋" w:cs="仿宋" w:hint="eastAsia"/>
                <w:kern w:val="0"/>
                <w:sz w:val="24"/>
                <w:szCs w:val="24"/>
              </w:rPr>
              <w:t>分。</w:t>
            </w:r>
          </w:p>
          <w:p w:rsidR="009562C7" w:rsidRDefault="00420AA9">
            <w:pPr>
              <w:rPr>
                <w:rFonts w:ascii="仿宋_GB2312" w:eastAsia="仿宋_GB2312" w:hAnsi="仿宋" w:cs="仿宋"/>
                <w:sz w:val="24"/>
                <w:szCs w:val="24"/>
              </w:rPr>
            </w:pP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具有</w:t>
            </w:r>
            <w:r>
              <w:rPr>
                <w:rFonts w:ascii="仿宋_GB2312" w:eastAsia="仿宋_GB2312" w:hAnsi="仿宋" w:cs="仿宋" w:hint="eastAsia"/>
                <w:kern w:val="0"/>
                <w:sz w:val="24"/>
                <w:szCs w:val="24"/>
              </w:rPr>
              <w:t>ISO9001</w:t>
            </w:r>
            <w:r>
              <w:rPr>
                <w:rFonts w:ascii="仿宋_GB2312" w:eastAsia="仿宋_GB2312" w:hAnsi="仿宋" w:cs="仿宋" w:hint="eastAsia"/>
                <w:kern w:val="0"/>
                <w:sz w:val="24"/>
                <w:szCs w:val="24"/>
              </w:rPr>
              <w:t>质量管理体系认证证书、</w:t>
            </w:r>
            <w:r>
              <w:rPr>
                <w:rFonts w:ascii="仿宋_GB2312" w:eastAsia="仿宋_GB2312" w:hAnsi="仿宋" w:cs="仿宋" w:hint="eastAsia"/>
                <w:kern w:val="0"/>
                <w:sz w:val="24"/>
                <w:szCs w:val="24"/>
              </w:rPr>
              <w:t>ISO14001</w:t>
            </w:r>
            <w:r>
              <w:rPr>
                <w:rFonts w:ascii="仿宋_GB2312" w:eastAsia="仿宋_GB2312" w:hAnsi="仿宋" w:cs="仿宋" w:hint="eastAsia"/>
                <w:kern w:val="0"/>
                <w:sz w:val="24"/>
                <w:szCs w:val="24"/>
              </w:rPr>
              <w:t>环境管理体系认证证书、</w:t>
            </w:r>
            <w:r>
              <w:rPr>
                <w:rFonts w:ascii="仿宋_GB2312" w:eastAsia="仿宋_GB2312" w:hAnsi="仿宋" w:cs="仿宋" w:hint="eastAsia"/>
                <w:kern w:val="0"/>
                <w:sz w:val="24"/>
                <w:szCs w:val="24"/>
              </w:rPr>
              <w:t>ISO45001</w:t>
            </w:r>
            <w:r>
              <w:rPr>
                <w:rFonts w:ascii="仿宋_GB2312" w:eastAsia="仿宋_GB2312" w:hAnsi="仿宋" w:cs="仿宋" w:hint="eastAsia"/>
                <w:kern w:val="0"/>
                <w:sz w:val="24"/>
                <w:szCs w:val="24"/>
              </w:rPr>
              <w:t>职业健康安全管理体系认证证书的，具有</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项证书可得</w:t>
            </w: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分，全部具备得</w:t>
            </w:r>
            <w:r>
              <w:rPr>
                <w:rFonts w:ascii="仿宋_GB2312" w:eastAsia="仿宋_GB2312" w:hAnsi="仿宋" w:cs="仿宋" w:hint="eastAsia"/>
                <w:kern w:val="0"/>
                <w:sz w:val="24"/>
                <w:szCs w:val="24"/>
              </w:rPr>
              <w:t>6</w:t>
            </w:r>
            <w:r>
              <w:rPr>
                <w:rFonts w:ascii="仿宋_GB2312" w:eastAsia="仿宋_GB2312" w:hAnsi="仿宋" w:cs="仿宋" w:hint="eastAsia"/>
                <w:kern w:val="0"/>
                <w:sz w:val="24"/>
                <w:szCs w:val="24"/>
              </w:rPr>
              <w:t>分。</w:t>
            </w:r>
          </w:p>
          <w:p w:rsidR="009562C7" w:rsidRDefault="00420AA9">
            <w:pPr>
              <w:rPr>
                <w:rFonts w:ascii="仿宋_GB2312" w:eastAsia="仿宋_GB2312" w:hAnsi="仿宋" w:cs="仿宋"/>
                <w:sz w:val="24"/>
                <w:szCs w:val="24"/>
              </w:rPr>
            </w:pPr>
            <w:r>
              <w:rPr>
                <w:rFonts w:ascii="仿宋_GB2312" w:eastAsia="仿宋_GB2312" w:hAnsi="仿宋" w:cs="仿宋" w:hint="eastAsia"/>
                <w:kern w:val="0"/>
                <w:sz w:val="24"/>
                <w:szCs w:val="24"/>
              </w:rPr>
              <w:t>注：需提供上述相关证明材料的复印件并加</w:t>
            </w:r>
            <w:r>
              <w:rPr>
                <w:rFonts w:ascii="仿宋_GB2312" w:eastAsia="仿宋_GB2312" w:hAnsi="仿宋" w:cs="仿宋" w:hint="eastAsia"/>
                <w:kern w:val="0"/>
                <w:sz w:val="24"/>
                <w:szCs w:val="24"/>
              </w:rPr>
              <w:t>盖代理机构公章。</w:t>
            </w:r>
          </w:p>
        </w:tc>
      </w:tr>
      <w:tr w:rsidR="009562C7">
        <w:trPr>
          <w:trHeight w:val="3195"/>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4</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人员资质水平</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10</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针对本项目设置的人员（需提供在单位近半年内任一个月购买的社保证明的复印件并加盖代理机构公章，同一人员具有多个证书的不重复计分）：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每配备</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名高级工程师职称人员得</w:t>
            </w: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分，最高</w:t>
            </w:r>
            <w:r>
              <w:rPr>
                <w:rFonts w:ascii="仿宋_GB2312" w:eastAsia="仿宋_GB2312" w:hAnsi="仿宋" w:cs="仿宋" w:hint="eastAsia"/>
                <w:kern w:val="0"/>
                <w:sz w:val="24"/>
                <w:szCs w:val="24"/>
              </w:rPr>
              <w:t>4</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kern w:val="0"/>
                <w:sz w:val="24"/>
                <w:szCs w:val="24"/>
              </w:rPr>
            </w:pPr>
            <w:r>
              <w:rPr>
                <w:rFonts w:ascii="仿宋_GB2312" w:eastAsia="仿宋_GB2312" w:hAnsi="仿宋" w:cs="仿宋" w:hint="eastAsia"/>
                <w:kern w:val="0"/>
                <w:sz w:val="24"/>
                <w:szCs w:val="24"/>
              </w:rPr>
              <w:t>每配备</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名招标师（或招标采购从业人员专业技术能力评价中级或以上）得</w:t>
            </w: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分，最高</w:t>
            </w:r>
            <w:r>
              <w:rPr>
                <w:rFonts w:ascii="仿宋_GB2312" w:eastAsia="仿宋_GB2312" w:hAnsi="仿宋" w:cs="仿宋" w:hint="eastAsia"/>
                <w:kern w:val="0"/>
                <w:sz w:val="24"/>
                <w:szCs w:val="24"/>
              </w:rPr>
              <w:t>6</w:t>
            </w:r>
            <w:r>
              <w:rPr>
                <w:rFonts w:ascii="仿宋_GB2312" w:eastAsia="仿宋_GB2312" w:hAnsi="仿宋" w:cs="仿宋" w:hint="eastAsia"/>
                <w:kern w:val="0"/>
                <w:sz w:val="24"/>
                <w:szCs w:val="24"/>
              </w:rPr>
              <w:t>分。</w:t>
            </w:r>
          </w:p>
        </w:tc>
      </w:tr>
      <w:tr w:rsidR="009562C7">
        <w:trPr>
          <w:trHeight w:val="1186"/>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5</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开评标场地</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5</w:t>
            </w:r>
          </w:p>
        </w:tc>
        <w:tc>
          <w:tcPr>
            <w:tcW w:w="4810" w:type="dxa"/>
            <w:vAlign w:val="center"/>
          </w:tcPr>
          <w:p w:rsidR="009562C7" w:rsidRDefault="00420AA9">
            <w:pPr>
              <w:snapToGrid w:val="0"/>
              <w:rPr>
                <w:rFonts w:ascii="仿宋_GB2312" w:eastAsia="仿宋_GB2312" w:hAnsi="仿宋" w:cs="仿宋"/>
                <w:kern w:val="0"/>
                <w:sz w:val="24"/>
                <w:szCs w:val="24"/>
              </w:rPr>
            </w:pPr>
            <w:r>
              <w:rPr>
                <w:rFonts w:ascii="仿宋_GB2312" w:eastAsia="仿宋_GB2312" w:hAnsi="仿宋" w:cs="仿宋" w:hint="eastAsia"/>
                <w:kern w:val="0"/>
                <w:sz w:val="24"/>
                <w:szCs w:val="24"/>
              </w:rPr>
              <w:t>代理机构的办公场地、开评标场地服务环境设置及服务半径比较。进行横向对比，在</w:t>
            </w:r>
            <w:r>
              <w:rPr>
                <w:rFonts w:ascii="仿宋_GB2312" w:eastAsia="仿宋_GB2312" w:hAnsi="仿宋" w:cs="仿宋" w:hint="eastAsia"/>
                <w:kern w:val="0"/>
                <w:sz w:val="24"/>
                <w:szCs w:val="24"/>
              </w:rPr>
              <w:t>5-0</w:t>
            </w:r>
            <w:r>
              <w:rPr>
                <w:rFonts w:ascii="仿宋_GB2312" w:eastAsia="仿宋_GB2312" w:hAnsi="仿宋" w:cs="仿宋" w:hint="eastAsia"/>
                <w:kern w:val="0"/>
                <w:sz w:val="24"/>
                <w:szCs w:val="24"/>
              </w:rPr>
              <w:t>之间评分。（需提供场地情况及图片）</w:t>
            </w:r>
          </w:p>
          <w:p w:rsidR="009562C7" w:rsidRDefault="00420AA9">
            <w:pPr>
              <w:snapToGrid w:val="0"/>
              <w:rPr>
                <w:rFonts w:ascii="仿宋_GB2312" w:eastAsia="仿宋_GB2312" w:hAnsi="仿宋" w:cs="仿宋"/>
                <w:kern w:val="0"/>
                <w:sz w:val="24"/>
                <w:szCs w:val="24"/>
              </w:rPr>
            </w:pPr>
            <w:r>
              <w:rPr>
                <w:rFonts w:ascii="仿宋_GB2312" w:eastAsia="仿宋_GB2312" w:hAnsi="仿宋" w:cs="仿宋" w:hint="eastAsia"/>
                <w:kern w:val="0"/>
                <w:sz w:val="24"/>
                <w:szCs w:val="24"/>
              </w:rPr>
              <w:t>注：根据代理机构在江门市范围内的工商注</w:t>
            </w:r>
            <w:r>
              <w:rPr>
                <w:rFonts w:ascii="仿宋_GB2312" w:eastAsia="仿宋_GB2312" w:hAnsi="仿宋" w:cs="仿宋" w:hint="eastAsia"/>
                <w:kern w:val="0"/>
                <w:sz w:val="24"/>
                <w:szCs w:val="24"/>
              </w:rPr>
              <w:lastRenderedPageBreak/>
              <w:t>册的证明，以及场地的自有产权证明或租赁合同材料上的相关信息为依据。</w:t>
            </w:r>
          </w:p>
        </w:tc>
      </w:tr>
      <w:tr w:rsidR="009562C7">
        <w:trPr>
          <w:trHeight w:val="5066"/>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lastRenderedPageBreak/>
              <w:t>6</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行业协会、获奖、荣誉情况</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10</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代理机构为省级或以上招标或采购行业协会常务理事单位或以上级别的，得</w:t>
            </w: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代理机构为省级或以上公共资源交易联合会常务理事单位会员或以上级别的，得</w:t>
            </w:r>
            <w:r>
              <w:rPr>
                <w:rFonts w:ascii="仿宋_GB2312" w:eastAsia="仿宋_GB2312" w:hAnsi="仿宋" w:cs="仿宋" w:hint="eastAsia"/>
                <w:kern w:val="0"/>
                <w:sz w:val="24"/>
                <w:szCs w:val="24"/>
              </w:rPr>
              <w:t>2</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3.</w:t>
            </w:r>
            <w:r>
              <w:rPr>
                <w:rFonts w:ascii="仿宋_GB2312" w:eastAsia="仿宋_GB2312" w:hAnsi="仿宋" w:cs="仿宋" w:hint="eastAsia"/>
                <w:kern w:val="0"/>
                <w:sz w:val="24"/>
                <w:szCs w:val="24"/>
              </w:rPr>
              <w:t>曾获得中国招标投标协会授予的“招标代理机构诚信创优</w:t>
            </w:r>
            <w:r>
              <w:rPr>
                <w:rFonts w:ascii="仿宋_GB2312" w:eastAsia="仿宋_GB2312" w:hAnsi="仿宋" w:cs="仿宋" w:hint="eastAsia"/>
                <w:kern w:val="0"/>
                <w:sz w:val="24"/>
                <w:szCs w:val="24"/>
              </w:rPr>
              <w:t>5A</w:t>
            </w:r>
            <w:r>
              <w:rPr>
                <w:rFonts w:ascii="仿宋_GB2312" w:eastAsia="仿宋_GB2312" w:hAnsi="仿宋" w:cs="仿宋" w:hint="eastAsia"/>
                <w:kern w:val="0"/>
                <w:sz w:val="24"/>
                <w:szCs w:val="24"/>
              </w:rPr>
              <w:t>等级”证书得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4.</w:t>
            </w:r>
            <w:r>
              <w:rPr>
                <w:rFonts w:ascii="仿宋_GB2312" w:eastAsia="仿宋_GB2312" w:hAnsi="仿宋" w:cs="仿宋" w:hint="eastAsia"/>
                <w:kern w:val="0"/>
                <w:sz w:val="24"/>
                <w:szCs w:val="24"/>
              </w:rPr>
              <w:t>曾获得中国招标投标协会授予的“企业信用</w:t>
            </w:r>
            <w:r>
              <w:rPr>
                <w:rFonts w:ascii="仿宋_GB2312" w:eastAsia="仿宋_GB2312" w:hAnsi="仿宋" w:cs="仿宋" w:hint="eastAsia"/>
                <w:kern w:val="0"/>
                <w:sz w:val="24"/>
                <w:szCs w:val="24"/>
              </w:rPr>
              <w:t>AAA</w:t>
            </w:r>
            <w:r>
              <w:rPr>
                <w:rFonts w:ascii="仿宋_GB2312" w:eastAsia="仿宋_GB2312" w:hAnsi="仿宋" w:cs="仿宋" w:hint="eastAsia"/>
                <w:kern w:val="0"/>
                <w:sz w:val="24"/>
                <w:szCs w:val="24"/>
              </w:rPr>
              <w:t>等级”证书得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5.</w:t>
            </w:r>
            <w:r>
              <w:rPr>
                <w:rFonts w:ascii="仿宋_GB2312" w:eastAsia="仿宋_GB2312" w:hAnsi="仿宋" w:cs="仿宋" w:hint="eastAsia"/>
                <w:kern w:val="0"/>
                <w:sz w:val="24"/>
                <w:szCs w:val="24"/>
              </w:rPr>
              <w:t>曾获得中国招标投标协会授予的“推动行业发展突出贡献单位”荣誉称号的得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6.201</w:t>
            </w:r>
            <w:r>
              <w:rPr>
                <w:rFonts w:ascii="仿宋_GB2312" w:eastAsia="仿宋_GB2312" w:hAnsi="仿宋" w:cs="仿宋" w:hint="eastAsia"/>
                <w:kern w:val="0"/>
                <w:sz w:val="24"/>
                <w:szCs w:val="24"/>
              </w:rPr>
              <w:t>8</w:t>
            </w:r>
            <w:r>
              <w:rPr>
                <w:rFonts w:ascii="仿宋_GB2312" w:eastAsia="仿宋_GB2312" w:hAnsi="仿宋" w:cs="仿宋" w:hint="eastAsia"/>
                <w:kern w:val="0"/>
                <w:sz w:val="24"/>
                <w:szCs w:val="24"/>
              </w:rPr>
              <w:t>年以来曾获得其他相关奖项，如中国采购与招标网、中国名企排行网以及在省级以上各类与采购相关的协会获得奖项的，每个得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分，最高</w:t>
            </w:r>
            <w:r>
              <w:rPr>
                <w:rFonts w:ascii="仿宋_GB2312" w:eastAsia="仿宋_GB2312" w:hAnsi="仿宋" w:cs="仿宋" w:hint="eastAsia"/>
                <w:kern w:val="0"/>
                <w:sz w:val="24"/>
                <w:szCs w:val="24"/>
              </w:rPr>
              <w:t>3</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注：需提供上述相关证明材料的复印件并加盖代理机构公章。</w:t>
            </w:r>
          </w:p>
        </w:tc>
      </w:tr>
      <w:tr w:rsidR="009562C7">
        <w:trPr>
          <w:trHeight w:val="1573"/>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7</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招标电子平台</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5</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代理机构使用通过认证的招投标电子交易平台开展线上开标评标活动，且平台安全可靠，具备电子招标投标系统三星认证、安全等级保护等级等认证（提供相关证明材料），有得</w:t>
            </w:r>
            <w:r>
              <w:rPr>
                <w:rFonts w:ascii="仿宋_GB2312" w:eastAsia="仿宋_GB2312" w:hAnsi="仿宋" w:cs="仿宋" w:hint="eastAsia"/>
                <w:kern w:val="0"/>
                <w:sz w:val="24"/>
                <w:szCs w:val="24"/>
              </w:rPr>
              <w:t>5</w:t>
            </w:r>
            <w:r>
              <w:rPr>
                <w:rFonts w:ascii="仿宋_GB2312" w:eastAsia="仿宋_GB2312" w:hAnsi="仿宋" w:cs="仿宋" w:hint="eastAsia"/>
                <w:kern w:val="0"/>
                <w:sz w:val="24"/>
                <w:szCs w:val="24"/>
              </w:rPr>
              <w:t>分，没有不得分。</w:t>
            </w:r>
          </w:p>
        </w:tc>
      </w:tr>
      <w:tr w:rsidR="009562C7">
        <w:trPr>
          <w:trHeight w:val="797"/>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8</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评标专家库</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5</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代理机构具有自己管理的医疗卫生行业分类的专家信息库，得</w:t>
            </w:r>
            <w:r>
              <w:rPr>
                <w:rFonts w:ascii="仿宋_GB2312" w:eastAsia="仿宋_GB2312" w:hAnsi="仿宋" w:cs="仿宋" w:hint="eastAsia"/>
                <w:kern w:val="0"/>
                <w:sz w:val="24"/>
                <w:szCs w:val="24"/>
              </w:rPr>
              <w:t>5</w:t>
            </w:r>
            <w:r>
              <w:rPr>
                <w:rFonts w:ascii="仿宋_GB2312" w:eastAsia="仿宋_GB2312" w:hAnsi="仿宋" w:cs="仿宋" w:hint="eastAsia"/>
                <w:kern w:val="0"/>
                <w:sz w:val="24"/>
                <w:szCs w:val="24"/>
              </w:rPr>
              <w:t>分。</w:t>
            </w:r>
          </w:p>
        </w:tc>
      </w:tr>
      <w:tr w:rsidR="009562C7">
        <w:trPr>
          <w:trHeight w:val="1703"/>
        </w:trPr>
        <w:tc>
          <w:tcPr>
            <w:tcW w:w="807" w:type="dxa"/>
            <w:vMerge w:val="restart"/>
            <w:vAlign w:val="center"/>
          </w:tcPr>
          <w:p w:rsidR="009562C7" w:rsidRDefault="00420AA9">
            <w:pPr>
              <w:snapToGrid w:val="0"/>
              <w:jc w:val="center"/>
              <w:rPr>
                <w:rFonts w:ascii="仿宋_GB2312" w:eastAsia="仿宋_GB2312" w:hAnsi="仿宋" w:cs="仿宋"/>
                <w:kern w:val="0"/>
                <w:sz w:val="24"/>
                <w:szCs w:val="24"/>
              </w:rPr>
            </w:pPr>
            <w:r>
              <w:rPr>
                <w:rFonts w:ascii="仿宋_GB2312" w:eastAsia="仿宋_GB2312" w:hAnsi="仿宋" w:cs="仿宋" w:hint="eastAsia"/>
                <w:kern w:val="0"/>
                <w:sz w:val="24"/>
                <w:szCs w:val="24"/>
              </w:rPr>
              <w:t>9</w:t>
            </w:r>
          </w:p>
        </w:tc>
        <w:tc>
          <w:tcPr>
            <w:tcW w:w="2243" w:type="dxa"/>
            <w:vAlign w:val="center"/>
          </w:tcPr>
          <w:p w:rsidR="009562C7" w:rsidRDefault="00420AA9">
            <w:pPr>
              <w:snapToGrid w:val="0"/>
              <w:jc w:val="center"/>
              <w:rPr>
                <w:rFonts w:ascii="仿宋_GB2312" w:eastAsia="仿宋_GB2312" w:hAnsi="仿宋" w:cs="仿宋"/>
                <w:kern w:val="0"/>
                <w:sz w:val="24"/>
                <w:szCs w:val="24"/>
              </w:rPr>
            </w:pPr>
            <w:r>
              <w:rPr>
                <w:rFonts w:ascii="仿宋_GB2312" w:eastAsia="仿宋_GB2312" w:hAnsi="仿宋" w:cs="仿宋" w:hint="eastAsia"/>
                <w:kern w:val="0"/>
                <w:sz w:val="24"/>
                <w:szCs w:val="24"/>
              </w:rPr>
              <w:t>服务广东省内三甲医疗机构的数量</w:t>
            </w:r>
          </w:p>
        </w:tc>
        <w:tc>
          <w:tcPr>
            <w:tcW w:w="798" w:type="dxa"/>
            <w:vAlign w:val="center"/>
          </w:tcPr>
          <w:p w:rsidR="009562C7" w:rsidRDefault="00420AA9">
            <w:pPr>
              <w:snapToGrid w:val="0"/>
              <w:jc w:val="center"/>
              <w:rPr>
                <w:rFonts w:ascii="仿宋_GB2312" w:eastAsia="仿宋_GB2312" w:hAnsi="仿宋" w:cs="仿宋"/>
                <w:kern w:val="0"/>
                <w:sz w:val="24"/>
                <w:szCs w:val="24"/>
              </w:rPr>
            </w:pPr>
            <w:r>
              <w:rPr>
                <w:rFonts w:ascii="仿宋_GB2312" w:eastAsia="仿宋_GB2312" w:hAnsi="仿宋" w:cs="仿宋" w:hint="eastAsia"/>
                <w:kern w:val="0"/>
                <w:sz w:val="24"/>
                <w:szCs w:val="24"/>
              </w:rPr>
              <w:t>5</w:t>
            </w:r>
          </w:p>
        </w:tc>
        <w:tc>
          <w:tcPr>
            <w:tcW w:w="4810" w:type="dxa"/>
            <w:vAlign w:val="center"/>
          </w:tcPr>
          <w:p w:rsidR="009562C7" w:rsidRDefault="00420AA9">
            <w:pPr>
              <w:snapToGrid w:val="0"/>
              <w:rPr>
                <w:rFonts w:ascii="仿宋_GB2312" w:eastAsia="仿宋_GB2312" w:hAnsi="仿宋" w:cs="仿宋"/>
                <w:kern w:val="0"/>
                <w:sz w:val="24"/>
                <w:szCs w:val="24"/>
              </w:rPr>
            </w:pPr>
            <w:r>
              <w:rPr>
                <w:rFonts w:ascii="仿宋_GB2312" w:eastAsia="仿宋_GB2312" w:hAnsi="仿宋" w:cs="仿宋" w:hint="eastAsia"/>
                <w:kern w:val="0"/>
                <w:sz w:val="24"/>
                <w:szCs w:val="24"/>
              </w:rPr>
              <w:t>201</w:t>
            </w:r>
            <w:r>
              <w:rPr>
                <w:rFonts w:ascii="仿宋_GB2312" w:eastAsia="仿宋_GB2312" w:hAnsi="仿宋" w:cs="仿宋" w:hint="eastAsia"/>
                <w:kern w:val="0"/>
                <w:sz w:val="24"/>
                <w:szCs w:val="24"/>
              </w:rPr>
              <w:t>8</w:t>
            </w:r>
            <w:r>
              <w:rPr>
                <w:rFonts w:ascii="仿宋_GB2312" w:eastAsia="仿宋_GB2312" w:hAnsi="仿宋" w:cs="仿宋" w:hint="eastAsia"/>
                <w:kern w:val="0"/>
                <w:sz w:val="24"/>
                <w:szCs w:val="24"/>
              </w:rPr>
              <w:t>年</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月</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日至今，服务广东省内三甲医疗机构的数量：每有</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家医院得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分，最高得</w:t>
            </w:r>
            <w:r>
              <w:rPr>
                <w:rFonts w:ascii="仿宋_GB2312" w:eastAsia="仿宋_GB2312" w:hAnsi="仿宋" w:cs="仿宋" w:hint="eastAsia"/>
                <w:kern w:val="0"/>
                <w:sz w:val="24"/>
                <w:szCs w:val="24"/>
              </w:rPr>
              <w:t>5</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kern w:val="0"/>
                <w:sz w:val="24"/>
                <w:szCs w:val="24"/>
              </w:rPr>
            </w:pPr>
            <w:r>
              <w:rPr>
                <w:rFonts w:ascii="仿宋_GB2312" w:eastAsia="仿宋_GB2312" w:hAnsi="仿宋" w:cs="仿宋" w:hint="eastAsia"/>
                <w:kern w:val="0"/>
                <w:sz w:val="24"/>
                <w:szCs w:val="24"/>
              </w:rPr>
              <w:t>注：同一委托用户只需提供一个委托协议复印件，不提供不得分。</w:t>
            </w:r>
          </w:p>
        </w:tc>
      </w:tr>
      <w:tr w:rsidR="009562C7">
        <w:trPr>
          <w:trHeight w:val="2360"/>
        </w:trPr>
        <w:tc>
          <w:tcPr>
            <w:tcW w:w="807" w:type="dxa"/>
            <w:vMerge/>
            <w:vAlign w:val="center"/>
          </w:tcPr>
          <w:p w:rsidR="009562C7" w:rsidRDefault="009562C7">
            <w:pPr>
              <w:snapToGrid w:val="0"/>
              <w:jc w:val="center"/>
              <w:rPr>
                <w:rFonts w:ascii="仿宋_GB2312" w:eastAsia="仿宋_GB2312" w:hAnsi="仿宋" w:cs="仿宋"/>
                <w:sz w:val="24"/>
                <w:szCs w:val="24"/>
              </w:rPr>
            </w:pP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业绩能力</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20</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201</w:t>
            </w:r>
            <w:r>
              <w:rPr>
                <w:rFonts w:ascii="仿宋_GB2312" w:eastAsia="仿宋_GB2312" w:hAnsi="仿宋" w:cs="仿宋" w:hint="eastAsia"/>
                <w:kern w:val="0"/>
                <w:sz w:val="24"/>
                <w:szCs w:val="24"/>
              </w:rPr>
              <w:t>8</w:t>
            </w:r>
            <w:r>
              <w:rPr>
                <w:rFonts w:ascii="仿宋_GB2312" w:eastAsia="仿宋_GB2312" w:hAnsi="仿宋" w:cs="仿宋" w:hint="eastAsia"/>
                <w:kern w:val="0"/>
                <w:sz w:val="24"/>
                <w:szCs w:val="24"/>
              </w:rPr>
              <w:t>年</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月</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日至今广东省三甲医院服务类、货物类、工程类业绩（招标采购代理业绩的数量和中标（成交）金额以其所代理项目的中标（成交）通知书为准，若中标通知书上未标明中标（成交）金额，则中标（成交）金额以合同或由业主出具的有效证明资料为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一类分：</w:t>
            </w:r>
            <w:r>
              <w:rPr>
                <w:rFonts w:ascii="仿宋_GB2312" w:eastAsia="仿宋_GB2312" w:hAnsi="仿宋" w:cs="仿宋"/>
                <w:kern w:val="0"/>
                <w:sz w:val="24"/>
                <w:szCs w:val="24"/>
              </w:rPr>
              <w:t>单个</w:t>
            </w:r>
            <w:r>
              <w:rPr>
                <w:rFonts w:ascii="仿宋_GB2312" w:eastAsia="仿宋_GB2312" w:hAnsi="仿宋" w:cs="仿宋" w:hint="eastAsia"/>
                <w:kern w:val="0"/>
                <w:sz w:val="24"/>
                <w:szCs w:val="24"/>
              </w:rPr>
              <w:t>采购</w:t>
            </w:r>
            <w:r>
              <w:rPr>
                <w:rFonts w:ascii="仿宋_GB2312" w:eastAsia="仿宋_GB2312" w:hAnsi="仿宋" w:cs="仿宋"/>
                <w:kern w:val="0"/>
                <w:sz w:val="24"/>
                <w:szCs w:val="24"/>
              </w:rPr>
              <w:t>代理项目中标</w:t>
            </w:r>
            <w:r>
              <w:rPr>
                <w:rFonts w:ascii="仿宋_GB2312" w:eastAsia="仿宋_GB2312" w:hAnsi="仿宋" w:cs="仿宋" w:hint="eastAsia"/>
                <w:kern w:val="0"/>
                <w:sz w:val="24"/>
                <w:szCs w:val="24"/>
              </w:rPr>
              <w:t>（成交）</w:t>
            </w:r>
            <w:r>
              <w:rPr>
                <w:rFonts w:ascii="仿宋_GB2312" w:eastAsia="仿宋_GB2312" w:hAnsi="仿宋" w:cs="仿宋"/>
                <w:kern w:val="0"/>
                <w:sz w:val="24"/>
                <w:szCs w:val="24"/>
              </w:rPr>
              <w:t>金额</w:t>
            </w:r>
            <w:r>
              <w:rPr>
                <w:rFonts w:ascii="仿宋_GB2312" w:eastAsia="仿宋_GB2312" w:hAnsi="仿宋" w:cs="仿宋" w:hint="eastAsia"/>
                <w:kern w:val="0"/>
                <w:sz w:val="24"/>
                <w:szCs w:val="24"/>
              </w:rPr>
              <w:t>≥</w:t>
            </w:r>
            <w:r>
              <w:rPr>
                <w:rFonts w:ascii="仿宋_GB2312" w:eastAsia="仿宋_GB2312" w:hAnsi="仿宋" w:cs="仿宋" w:hint="eastAsia"/>
                <w:kern w:val="0"/>
                <w:sz w:val="24"/>
                <w:szCs w:val="24"/>
              </w:rPr>
              <w:t>1000</w:t>
            </w:r>
            <w:r>
              <w:rPr>
                <w:rFonts w:ascii="仿宋_GB2312" w:eastAsia="仿宋_GB2312" w:hAnsi="仿宋" w:cs="仿宋" w:hint="eastAsia"/>
                <w:kern w:val="0"/>
                <w:sz w:val="24"/>
                <w:szCs w:val="24"/>
              </w:rPr>
              <w:t>万元，每个得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分，最高</w:t>
            </w:r>
            <w:r>
              <w:rPr>
                <w:rFonts w:ascii="仿宋_GB2312" w:eastAsia="仿宋_GB2312" w:hAnsi="仿宋" w:cs="仿宋" w:hint="eastAsia"/>
                <w:kern w:val="0"/>
                <w:sz w:val="24"/>
                <w:szCs w:val="24"/>
              </w:rPr>
              <w:t>5</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kern w:val="0"/>
                <w:sz w:val="24"/>
                <w:szCs w:val="24"/>
              </w:rPr>
            </w:pPr>
            <w:r>
              <w:rPr>
                <w:rFonts w:ascii="仿宋_GB2312" w:eastAsia="仿宋_GB2312" w:hAnsi="仿宋" w:cs="仿宋" w:hint="eastAsia"/>
                <w:kern w:val="0"/>
                <w:sz w:val="24"/>
                <w:szCs w:val="24"/>
              </w:rPr>
              <w:t>二类分：</w:t>
            </w:r>
            <w:r>
              <w:rPr>
                <w:rFonts w:ascii="仿宋_GB2312" w:eastAsia="仿宋_GB2312" w:hAnsi="仿宋" w:cs="仿宋" w:hint="eastAsia"/>
                <w:kern w:val="0"/>
                <w:sz w:val="24"/>
                <w:szCs w:val="24"/>
              </w:rPr>
              <w:t>单个采购</w:t>
            </w:r>
            <w:r>
              <w:rPr>
                <w:rFonts w:ascii="仿宋_GB2312" w:eastAsia="仿宋_GB2312" w:hAnsi="仿宋" w:cs="仿宋"/>
                <w:kern w:val="0"/>
                <w:sz w:val="24"/>
                <w:szCs w:val="24"/>
              </w:rPr>
              <w:t>代理项目中标</w:t>
            </w:r>
            <w:r>
              <w:rPr>
                <w:rFonts w:ascii="仿宋_GB2312" w:eastAsia="仿宋_GB2312" w:hAnsi="仿宋" w:cs="仿宋" w:hint="eastAsia"/>
                <w:kern w:val="0"/>
                <w:sz w:val="24"/>
                <w:szCs w:val="24"/>
              </w:rPr>
              <w:t>（成交）</w:t>
            </w:r>
            <w:r>
              <w:rPr>
                <w:rFonts w:ascii="仿宋_GB2312" w:eastAsia="仿宋_GB2312" w:hAnsi="仿宋" w:cs="仿宋"/>
                <w:kern w:val="0"/>
                <w:sz w:val="24"/>
                <w:szCs w:val="24"/>
              </w:rPr>
              <w:t>金额</w:t>
            </w:r>
            <w:r>
              <w:rPr>
                <w:rFonts w:ascii="仿宋_GB2312" w:eastAsia="仿宋_GB2312" w:hAnsi="仿宋" w:cs="仿宋" w:hint="eastAsia"/>
                <w:kern w:val="0"/>
                <w:sz w:val="24"/>
                <w:szCs w:val="24"/>
              </w:rPr>
              <w:t>小于</w:t>
            </w:r>
            <w:r>
              <w:rPr>
                <w:rFonts w:ascii="仿宋_GB2312" w:eastAsia="仿宋_GB2312" w:hAnsi="仿宋" w:cs="仿宋" w:hint="eastAsia"/>
                <w:kern w:val="0"/>
                <w:sz w:val="24"/>
                <w:szCs w:val="24"/>
              </w:rPr>
              <w:t>1000</w:t>
            </w:r>
            <w:r>
              <w:rPr>
                <w:rFonts w:ascii="仿宋_GB2312" w:eastAsia="仿宋_GB2312" w:hAnsi="仿宋" w:cs="仿宋" w:hint="eastAsia"/>
                <w:kern w:val="0"/>
                <w:sz w:val="24"/>
                <w:szCs w:val="24"/>
              </w:rPr>
              <w:t>万元但大于等于</w:t>
            </w:r>
            <w:r>
              <w:rPr>
                <w:rFonts w:ascii="仿宋_GB2312" w:eastAsia="仿宋_GB2312" w:hAnsi="仿宋" w:cs="仿宋" w:hint="eastAsia"/>
                <w:kern w:val="0"/>
                <w:sz w:val="24"/>
                <w:szCs w:val="24"/>
              </w:rPr>
              <w:t>500</w:t>
            </w:r>
            <w:r>
              <w:rPr>
                <w:rFonts w:ascii="仿宋_GB2312" w:eastAsia="仿宋_GB2312" w:hAnsi="仿宋" w:cs="仿宋" w:hint="eastAsia"/>
                <w:kern w:val="0"/>
                <w:sz w:val="24"/>
                <w:szCs w:val="24"/>
              </w:rPr>
              <w:t>万元，每个</w:t>
            </w:r>
            <w:r>
              <w:rPr>
                <w:rFonts w:ascii="仿宋_GB2312" w:eastAsia="仿宋_GB2312" w:hAnsi="仿宋" w:cs="仿宋" w:hint="eastAsia"/>
                <w:kern w:val="0"/>
                <w:sz w:val="24"/>
                <w:szCs w:val="24"/>
              </w:rPr>
              <w:lastRenderedPageBreak/>
              <w:t>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分，最高</w:t>
            </w:r>
            <w:r>
              <w:rPr>
                <w:rFonts w:ascii="仿宋_GB2312" w:eastAsia="仿宋_GB2312" w:hAnsi="仿宋" w:cs="仿宋" w:hint="eastAsia"/>
                <w:kern w:val="0"/>
                <w:sz w:val="24"/>
                <w:szCs w:val="24"/>
              </w:rPr>
              <w:t>5</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kern w:val="0"/>
                <w:sz w:val="24"/>
                <w:szCs w:val="24"/>
              </w:rPr>
            </w:pPr>
            <w:r>
              <w:rPr>
                <w:rFonts w:ascii="仿宋_GB2312" w:eastAsia="仿宋_GB2312" w:hAnsi="仿宋" w:cs="仿宋" w:hint="eastAsia"/>
                <w:kern w:val="0"/>
                <w:sz w:val="24"/>
                <w:szCs w:val="24"/>
              </w:rPr>
              <w:t>三类分：</w:t>
            </w:r>
            <w:r>
              <w:rPr>
                <w:rFonts w:ascii="仿宋_GB2312" w:eastAsia="仿宋_GB2312" w:hAnsi="仿宋" w:cs="仿宋" w:hint="eastAsia"/>
                <w:kern w:val="0"/>
                <w:sz w:val="24"/>
                <w:szCs w:val="24"/>
              </w:rPr>
              <w:t>单个采购</w:t>
            </w:r>
            <w:r>
              <w:rPr>
                <w:rFonts w:ascii="仿宋_GB2312" w:eastAsia="仿宋_GB2312" w:hAnsi="仿宋" w:cs="仿宋"/>
                <w:kern w:val="0"/>
                <w:sz w:val="24"/>
                <w:szCs w:val="24"/>
              </w:rPr>
              <w:t>代理项目中标</w:t>
            </w:r>
            <w:r>
              <w:rPr>
                <w:rFonts w:ascii="仿宋_GB2312" w:eastAsia="仿宋_GB2312" w:hAnsi="仿宋" w:cs="仿宋" w:hint="eastAsia"/>
                <w:kern w:val="0"/>
                <w:sz w:val="24"/>
                <w:szCs w:val="24"/>
              </w:rPr>
              <w:t>（成交）</w:t>
            </w:r>
            <w:r>
              <w:rPr>
                <w:rFonts w:ascii="仿宋_GB2312" w:eastAsia="仿宋_GB2312" w:hAnsi="仿宋" w:cs="仿宋"/>
                <w:kern w:val="0"/>
                <w:sz w:val="24"/>
                <w:szCs w:val="24"/>
              </w:rPr>
              <w:t>金额</w:t>
            </w:r>
            <w:r>
              <w:rPr>
                <w:rFonts w:ascii="仿宋_GB2312" w:eastAsia="仿宋_GB2312" w:hAnsi="仿宋" w:cs="仿宋" w:hint="eastAsia"/>
                <w:kern w:val="0"/>
                <w:sz w:val="24"/>
                <w:szCs w:val="24"/>
              </w:rPr>
              <w:t>小于</w:t>
            </w:r>
            <w:r>
              <w:rPr>
                <w:rFonts w:ascii="仿宋_GB2312" w:eastAsia="仿宋_GB2312" w:hAnsi="仿宋" w:cs="仿宋" w:hint="eastAsia"/>
                <w:kern w:val="0"/>
                <w:sz w:val="24"/>
                <w:szCs w:val="24"/>
              </w:rPr>
              <w:t>500</w:t>
            </w:r>
            <w:r>
              <w:rPr>
                <w:rFonts w:ascii="仿宋_GB2312" w:eastAsia="仿宋_GB2312" w:hAnsi="仿宋" w:cs="仿宋" w:hint="eastAsia"/>
                <w:kern w:val="0"/>
                <w:sz w:val="24"/>
                <w:szCs w:val="24"/>
              </w:rPr>
              <w:t>万元但大于等于</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00</w:t>
            </w:r>
            <w:r>
              <w:rPr>
                <w:rFonts w:ascii="仿宋_GB2312" w:eastAsia="仿宋_GB2312" w:hAnsi="仿宋" w:cs="仿宋" w:hint="eastAsia"/>
                <w:kern w:val="0"/>
                <w:sz w:val="24"/>
                <w:szCs w:val="24"/>
              </w:rPr>
              <w:t>万元，每个得</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分，最高</w:t>
            </w:r>
            <w:r>
              <w:rPr>
                <w:rFonts w:ascii="仿宋_GB2312" w:eastAsia="仿宋_GB2312" w:hAnsi="仿宋" w:cs="仿宋" w:hint="eastAsia"/>
                <w:kern w:val="0"/>
                <w:sz w:val="24"/>
                <w:szCs w:val="24"/>
              </w:rPr>
              <w:t>10</w:t>
            </w:r>
            <w:r>
              <w:rPr>
                <w:rFonts w:ascii="仿宋_GB2312" w:eastAsia="仿宋_GB2312" w:hAnsi="仿宋" w:cs="仿宋" w:hint="eastAsia"/>
                <w:kern w:val="0"/>
                <w:sz w:val="24"/>
                <w:szCs w:val="24"/>
              </w:rPr>
              <w:t>分。</w:t>
            </w:r>
          </w:p>
          <w:p w:rsidR="009562C7" w:rsidRDefault="009562C7">
            <w:pPr>
              <w:snapToGrid w:val="0"/>
              <w:rPr>
                <w:rFonts w:ascii="仿宋_GB2312" w:eastAsia="仿宋_GB2312" w:hAnsi="仿宋" w:cs="仿宋"/>
                <w:sz w:val="24"/>
                <w:szCs w:val="24"/>
              </w:rPr>
            </w:pPr>
          </w:p>
        </w:tc>
      </w:tr>
      <w:tr w:rsidR="009562C7">
        <w:trPr>
          <w:trHeight w:val="2132"/>
        </w:trPr>
        <w:tc>
          <w:tcPr>
            <w:tcW w:w="807"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lastRenderedPageBreak/>
              <w:t>10</w:t>
            </w:r>
          </w:p>
        </w:tc>
        <w:tc>
          <w:tcPr>
            <w:tcW w:w="2243"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价格</w:t>
            </w:r>
          </w:p>
        </w:tc>
        <w:tc>
          <w:tcPr>
            <w:tcW w:w="798" w:type="dxa"/>
            <w:vAlign w:val="center"/>
          </w:tcPr>
          <w:p w:rsidR="009562C7" w:rsidRDefault="00420AA9">
            <w:pPr>
              <w:snapToGrid w:val="0"/>
              <w:jc w:val="center"/>
              <w:rPr>
                <w:rFonts w:ascii="仿宋_GB2312" w:eastAsia="仿宋_GB2312" w:hAnsi="仿宋" w:cs="仿宋"/>
                <w:sz w:val="24"/>
                <w:szCs w:val="24"/>
              </w:rPr>
            </w:pPr>
            <w:r>
              <w:rPr>
                <w:rFonts w:ascii="仿宋_GB2312" w:eastAsia="仿宋_GB2312" w:hAnsi="仿宋" w:cs="仿宋" w:hint="eastAsia"/>
                <w:kern w:val="0"/>
                <w:sz w:val="24"/>
                <w:szCs w:val="24"/>
              </w:rPr>
              <w:t>10</w:t>
            </w:r>
          </w:p>
        </w:tc>
        <w:tc>
          <w:tcPr>
            <w:tcW w:w="4810" w:type="dxa"/>
            <w:vAlign w:val="center"/>
          </w:tcPr>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参照原国家计委〔</w:t>
            </w:r>
            <w:r>
              <w:rPr>
                <w:rFonts w:ascii="仿宋_GB2312" w:eastAsia="仿宋_GB2312" w:hAnsi="仿宋" w:cs="仿宋" w:hint="eastAsia"/>
                <w:kern w:val="0"/>
                <w:sz w:val="24"/>
                <w:szCs w:val="24"/>
              </w:rPr>
              <w:t>2002</w:t>
            </w:r>
            <w:r>
              <w:rPr>
                <w:rFonts w:ascii="仿宋_GB2312" w:eastAsia="仿宋_GB2312" w:hAnsi="仿宋" w:cs="仿宋" w:hint="eastAsia"/>
                <w:kern w:val="0"/>
                <w:sz w:val="24"/>
                <w:szCs w:val="24"/>
              </w:rPr>
              <w:t>〕</w:t>
            </w:r>
            <w:r>
              <w:rPr>
                <w:rFonts w:ascii="仿宋_GB2312" w:eastAsia="仿宋_GB2312" w:hAnsi="仿宋" w:cs="仿宋" w:hint="eastAsia"/>
                <w:kern w:val="0"/>
                <w:sz w:val="24"/>
                <w:szCs w:val="24"/>
              </w:rPr>
              <w:t>1980</w:t>
            </w:r>
            <w:r>
              <w:rPr>
                <w:rFonts w:ascii="仿宋_GB2312" w:eastAsia="仿宋_GB2312" w:hAnsi="仿宋" w:cs="仿宋" w:hint="eastAsia"/>
                <w:kern w:val="0"/>
                <w:sz w:val="24"/>
                <w:szCs w:val="24"/>
              </w:rPr>
              <w:t>号文件《招标代理服务收费管理暂行办法》，招标代理服务收费上下浮动幅度不超过</w:t>
            </w:r>
            <w:r>
              <w:rPr>
                <w:rFonts w:ascii="仿宋_GB2312" w:eastAsia="仿宋_GB2312" w:hAnsi="仿宋" w:cs="仿宋" w:hint="eastAsia"/>
                <w:kern w:val="0"/>
                <w:sz w:val="24"/>
                <w:szCs w:val="24"/>
              </w:rPr>
              <w:t>20</w:t>
            </w:r>
            <w:r>
              <w:rPr>
                <w:rFonts w:ascii="仿宋_GB2312" w:eastAsia="仿宋_GB2312" w:hAnsi="仿宋" w:cs="仿宋" w:hint="eastAsia"/>
                <w:kern w:val="0"/>
                <w:sz w:val="24"/>
                <w:szCs w:val="24"/>
              </w:rPr>
              <w:t>％。每下浮</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（最小下浮单位是</w:t>
            </w:r>
            <w:r>
              <w:rPr>
                <w:rFonts w:ascii="仿宋_GB2312" w:eastAsia="仿宋_GB2312" w:hAnsi="仿宋" w:cs="仿宋" w:hint="eastAsia"/>
                <w:kern w:val="0"/>
                <w:sz w:val="24"/>
                <w:szCs w:val="24"/>
              </w:rPr>
              <w:t>1%</w:t>
            </w:r>
            <w:r>
              <w:rPr>
                <w:rFonts w:ascii="仿宋_GB2312" w:eastAsia="仿宋_GB2312" w:hAnsi="仿宋" w:cs="仿宋" w:hint="eastAsia"/>
                <w:kern w:val="0"/>
                <w:sz w:val="24"/>
                <w:szCs w:val="24"/>
              </w:rPr>
              <w:t>），得</w:t>
            </w:r>
            <w:r>
              <w:rPr>
                <w:rFonts w:ascii="仿宋_GB2312" w:eastAsia="仿宋_GB2312" w:hAnsi="仿宋" w:cs="仿宋" w:hint="eastAsia"/>
                <w:kern w:val="0"/>
                <w:sz w:val="24"/>
                <w:szCs w:val="24"/>
              </w:rPr>
              <w:t>0.5</w:t>
            </w:r>
            <w:r>
              <w:rPr>
                <w:rFonts w:ascii="仿宋_GB2312" w:eastAsia="仿宋_GB2312" w:hAnsi="仿宋" w:cs="仿宋" w:hint="eastAsia"/>
                <w:kern w:val="0"/>
                <w:sz w:val="24"/>
                <w:szCs w:val="24"/>
              </w:rPr>
              <w:t>分，本项最高得</w:t>
            </w:r>
            <w:r>
              <w:rPr>
                <w:rFonts w:ascii="仿宋_GB2312" w:eastAsia="仿宋_GB2312" w:hAnsi="仿宋" w:cs="仿宋" w:hint="eastAsia"/>
                <w:kern w:val="0"/>
                <w:sz w:val="24"/>
                <w:szCs w:val="24"/>
              </w:rPr>
              <w:t>10</w:t>
            </w:r>
            <w:r>
              <w:rPr>
                <w:rFonts w:ascii="仿宋_GB2312" w:eastAsia="仿宋_GB2312" w:hAnsi="仿宋" w:cs="仿宋" w:hint="eastAsia"/>
                <w:kern w:val="0"/>
                <w:sz w:val="24"/>
                <w:szCs w:val="24"/>
              </w:rPr>
              <w:t>分。</w:t>
            </w:r>
          </w:p>
          <w:p w:rsidR="009562C7" w:rsidRDefault="00420AA9">
            <w:pPr>
              <w:snapToGrid w:val="0"/>
              <w:rPr>
                <w:rFonts w:ascii="仿宋_GB2312" w:eastAsia="仿宋_GB2312" w:hAnsi="仿宋" w:cs="仿宋"/>
                <w:sz w:val="24"/>
                <w:szCs w:val="24"/>
              </w:rPr>
            </w:pPr>
            <w:r>
              <w:rPr>
                <w:rFonts w:ascii="仿宋_GB2312" w:eastAsia="仿宋_GB2312" w:hAnsi="仿宋" w:cs="仿宋" w:hint="eastAsia"/>
                <w:kern w:val="0"/>
                <w:sz w:val="24"/>
                <w:szCs w:val="24"/>
              </w:rPr>
              <w:t>注：精确到小数点后两位。</w:t>
            </w:r>
          </w:p>
        </w:tc>
      </w:tr>
    </w:tbl>
    <w:p w:rsidR="009562C7" w:rsidRDefault="009562C7">
      <w:pPr>
        <w:spacing w:line="400" w:lineRule="exact"/>
      </w:pPr>
    </w:p>
    <w:sectPr w:rsidR="009562C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AA9" w:rsidRDefault="00420AA9">
      <w:r>
        <w:separator/>
      </w:r>
    </w:p>
  </w:endnote>
  <w:endnote w:type="continuationSeparator" w:id="0">
    <w:p w:rsidR="00420AA9" w:rsidRDefault="0042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0601"/>
    </w:sdtPr>
    <w:sdtEndPr/>
    <w:sdtContent>
      <w:p w:rsidR="009562C7" w:rsidRDefault="00420AA9">
        <w:pPr>
          <w:pStyle w:val="a5"/>
          <w:jc w:val="center"/>
        </w:pPr>
        <w:r>
          <w:fldChar w:fldCharType="begin"/>
        </w:r>
        <w:r>
          <w:instrText xml:space="preserve"> PAGE   \* MERGEFORMAT </w:instrText>
        </w:r>
        <w:r>
          <w:fldChar w:fldCharType="separate"/>
        </w:r>
        <w:r w:rsidR="009B43BA" w:rsidRPr="009B43BA">
          <w:rPr>
            <w:noProof/>
            <w:lang w:val="zh-CN"/>
          </w:rPr>
          <w:t>1</w:t>
        </w:r>
        <w:r>
          <w:fldChar w:fldCharType="end"/>
        </w:r>
      </w:p>
    </w:sdtContent>
  </w:sdt>
  <w:p w:rsidR="009562C7" w:rsidRDefault="009562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AA9" w:rsidRDefault="00420AA9">
      <w:r>
        <w:separator/>
      </w:r>
    </w:p>
  </w:footnote>
  <w:footnote w:type="continuationSeparator" w:id="0">
    <w:p w:rsidR="00420AA9" w:rsidRDefault="00420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xNzc2N2IwZDI3MDQwYjE5ODZlNWY2MTBiYzA0NjIifQ=="/>
  </w:docVars>
  <w:rsids>
    <w:rsidRoot w:val="00280854"/>
    <w:rsid w:val="00024AAB"/>
    <w:rsid w:val="000259F4"/>
    <w:rsid w:val="00033C52"/>
    <w:rsid w:val="00040A69"/>
    <w:rsid w:val="000433F7"/>
    <w:rsid w:val="0004624F"/>
    <w:rsid w:val="00052603"/>
    <w:rsid w:val="0006084D"/>
    <w:rsid w:val="00084FC0"/>
    <w:rsid w:val="0009387D"/>
    <w:rsid w:val="00095FAD"/>
    <w:rsid w:val="000A1310"/>
    <w:rsid w:val="000A49CC"/>
    <w:rsid w:val="000B4FCD"/>
    <w:rsid w:val="000C3485"/>
    <w:rsid w:val="000C6738"/>
    <w:rsid w:val="000C6937"/>
    <w:rsid w:val="000E15CC"/>
    <w:rsid w:val="001009E2"/>
    <w:rsid w:val="001021AA"/>
    <w:rsid w:val="0010396D"/>
    <w:rsid w:val="0010629A"/>
    <w:rsid w:val="00107681"/>
    <w:rsid w:val="00124E10"/>
    <w:rsid w:val="00126C59"/>
    <w:rsid w:val="001423A0"/>
    <w:rsid w:val="00151563"/>
    <w:rsid w:val="001519C8"/>
    <w:rsid w:val="00164DE6"/>
    <w:rsid w:val="00174359"/>
    <w:rsid w:val="00175BA2"/>
    <w:rsid w:val="001806C2"/>
    <w:rsid w:val="00193C1A"/>
    <w:rsid w:val="001A2CA1"/>
    <w:rsid w:val="001B6B6A"/>
    <w:rsid w:val="001C4851"/>
    <w:rsid w:val="001D4C38"/>
    <w:rsid w:val="001E22B0"/>
    <w:rsid w:val="00200BA1"/>
    <w:rsid w:val="00204974"/>
    <w:rsid w:val="002220EB"/>
    <w:rsid w:val="00225917"/>
    <w:rsid w:val="0022715C"/>
    <w:rsid w:val="00236C85"/>
    <w:rsid w:val="00245C07"/>
    <w:rsid w:val="00270CF5"/>
    <w:rsid w:val="00274CC7"/>
    <w:rsid w:val="00280854"/>
    <w:rsid w:val="002935E1"/>
    <w:rsid w:val="002B62B6"/>
    <w:rsid w:val="002C5F33"/>
    <w:rsid w:val="002E083B"/>
    <w:rsid w:val="003024EF"/>
    <w:rsid w:val="003113A9"/>
    <w:rsid w:val="00327C54"/>
    <w:rsid w:val="00330B26"/>
    <w:rsid w:val="00333B03"/>
    <w:rsid w:val="003425D9"/>
    <w:rsid w:val="00353805"/>
    <w:rsid w:val="003565EF"/>
    <w:rsid w:val="00372755"/>
    <w:rsid w:val="003740A7"/>
    <w:rsid w:val="00375FE8"/>
    <w:rsid w:val="003761FB"/>
    <w:rsid w:val="003A0568"/>
    <w:rsid w:val="003B143B"/>
    <w:rsid w:val="003B39D9"/>
    <w:rsid w:val="003C5BA9"/>
    <w:rsid w:val="003D3856"/>
    <w:rsid w:val="003D4A8B"/>
    <w:rsid w:val="003E045E"/>
    <w:rsid w:val="003E0AD9"/>
    <w:rsid w:val="003F2F26"/>
    <w:rsid w:val="003F40AA"/>
    <w:rsid w:val="003F736D"/>
    <w:rsid w:val="003F73E1"/>
    <w:rsid w:val="0040725C"/>
    <w:rsid w:val="00420AA9"/>
    <w:rsid w:val="004406FF"/>
    <w:rsid w:val="004437F3"/>
    <w:rsid w:val="00443891"/>
    <w:rsid w:val="00446309"/>
    <w:rsid w:val="004574CD"/>
    <w:rsid w:val="00461697"/>
    <w:rsid w:val="00462412"/>
    <w:rsid w:val="004664B0"/>
    <w:rsid w:val="004768EE"/>
    <w:rsid w:val="00481A6A"/>
    <w:rsid w:val="00483048"/>
    <w:rsid w:val="00487C0A"/>
    <w:rsid w:val="00490FD0"/>
    <w:rsid w:val="004972E3"/>
    <w:rsid w:val="004A2111"/>
    <w:rsid w:val="004A45BB"/>
    <w:rsid w:val="004C19B4"/>
    <w:rsid w:val="004C65D5"/>
    <w:rsid w:val="004E506B"/>
    <w:rsid w:val="00502512"/>
    <w:rsid w:val="00507007"/>
    <w:rsid w:val="00515C03"/>
    <w:rsid w:val="00520EC7"/>
    <w:rsid w:val="005243A6"/>
    <w:rsid w:val="005274B7"/>
    <w:rsid w:val="005324BB"/>
    <w:rsid w:val="00552324"/>
    <w:rsid w:val="00560B6A"/>
    <w:rsid w:val="0056542D"/>
    <w:rsid w:val="00567F8E"/>
    <w:rsid w:val="00572A0B"/>
    <w:rsid w:val="005801AE"/>
    <w:rsid w:val="005871ED"/>
    <w:rsid w:val="005B0833"/>
    <w:rsid w:val="005B38BB"/>
    <w:rsid w:val="005B418F"/>
    <w:rsid w:val="005C6549"/>
    <w:rsid w:val="005C715E"/>
    <w:rsid w:val="005D72F0"/>
    <w:rsid w:val="005E2A5B"/>
    <w:rsid w:val="006048B4"/>
    <w:rsid w:val="00624DFD"/>
    <w:rsid w:val="0062529A"/>
    <w:rsid w:val="00643BFF"/>
    <w:rsid w:val="00670137"/>
    <w:rsid w:val="00674374"/>
    <w:rsid w:val="0068410A"/>
    <w:rsid w:val="00685B3F"/>
    <w:rsid w:val="00685EAA"/>
    <w:rsid w:val="00691F79"/>
    <w:rsid w:val="006930B8"/>
    <w:rsid w:val="006A18E4"/>
    <w:rsid w:val="006A1FE9"/>
    <w:rsid w:val="006B30DC"/>
    <w:rsid w:val="006B3230"/>
    <w:rsid w:val="0070203F"/>
    <w:rsid w:val="0071087D"/>
    <w:rsid w:val="007240FD"/>
    <w:rsid w:val="007278A0"/>
    <w:rsid w:val="00727F15"/>
    <w:rsid w:val="00736835"/>
    <w:rsid w:val="00745426"/>
    <w:rsid w:val="00746DD6"/>
    <w:rsid w:val="00756981"/>
    <w:rsid w:val="0078239F"/>
    <w:rsid w:val="007836AC"/>
    <w:rsid w:val="00786D1E"/>
    <w:rsid w:val="00787F9D"/>
    <w:rsid w:val="007932C8"/>
    <w:rsid w:val="00794476"/>
    <w:rsid w:val="007B125C"/>
    <w:rsid w:val="007B2E1F"/>
    <w:rsid w:val="007B6A32"/>
    <w:rsid w:val="007C0706"/>
    <w:rsid w:val="007D605B"/>
    <w:rsid w:val="007D6CCE"/>
    <w:rsid w:val="007E2629"/>
    <w:rsid w:val="007F72EF"/>
    <w:rsid w:val="00810142"/>
    <w:rsid w:val="00810490"/>
    <w:rsid w:val="00810982"/>
    <w:rsid w:val="00816838"/>
    <w:rsid w:val="0082349B"/>
    <w:rsid w:val="00833CB6"/>
    <w:rsid w:val="00835484"/>
    <w:rsid w:val="00835B42"/>
    <w:rsid w:val="00845FFF"/>
    <w:rsid w:val="00851008"/>
    <w:rsid w:val="00853194"/>
    <w:rsid w:val="00854D5C"/>
    <w:rsid w:val="00857474"/>
    <w:rsid w:val="00866E29"/>
    <w:rsid w:val="00874060"/>
    <w:rsid w:val="00875D99"/>
    <w:rsid w:val="008854E3"/>
    <w:rsid w:val="008859FE"/>
    <w:rsid w:val="0088629A"/>
    <w:rsid w:val="008B18FE"/>
    <w:rsid w:val="008B486B"/>
    <w:rsid w:val="008E0084"/>
    <w:rsid w:val="008E2FC4"/>
    <w:rsid w:val="008F2A31"/>
    <w:rsid w:val="00902774"/>
    <w:rsid w:val="009039BC"/>
    <w:rsid w:val="00905D52"/>
    <w:rsid w:val="00917D8C"/>
    <w:rsid w:val="00952E9B"/>
    <w:rsid w:val="009562C7"/>
    <w:rsid w:val="00956300"/>
    <w:rsid w:val="0096043D"/>
    <w:rsid w:val="00973CD9"/>
    <w:rsid w:val="009A21EF"/>
    <w:rsid w:val="009B09FA"/>
    <w:rsid w:val="009B43BA"/>
    <w:rsid w:val="009B4DCB"/>
    <w:rsid w:val="009C064C"/>
    <w:rsid w:val="009C2372"/>
    <w:rsid w:val="009C4F8F"/>
    <w:rsid w:val="009C5D2E"/>
    <w:rsid w:val="009D0B3E"/>
    <w:rsid w:val="009D37C6"/>
    <w:rsid w:val="00A056CA"/>
    <w:rsid w:val="00A117D9"/>
    <w:rsid w:val="00A26445"/>
    <w:rsid w:val="00A26600"/>
    <w:rsid w:val="00A314ED"/>
    <w:rsid w:val="00A337E8"/>
    <w:rsid w:val="00A358D6"/>
    <w:rsid w:val="00A4730E"/>
    <w:rsid w:val="00A57F3A"/>
    <w:rsid w:val="00A67AEF"/>
    <w:rsid w:val="00A733C8"/>
    <w:rsid w:val="00A76AF3"/>
    <w:rsid w:val="00A93838"/>
    <w:rsid w:val="00A96FF6"/>
    <w:rsid w:val="00A97EA6"/>
    <w:rsid w:val="00AB290C"/>
    <w:rsid w:val="00AB3ABD"/>
    <w:rsid w:val="00AB71F1"/>
    <w:rsid w:val="00AC7D51"/>
    <w:rsid w:val="00AD5A2F"/>
    <w:rsid w:val="00AF0E04"/>
    <w:rsid w:val="00B0663D"/>
    <w:rsid w:val="00B122F1"/>
    <w:rsid w:val="00B22850"/>
    <w:rsid w:val="00B31D11"/>
    <w:rsid w:val="00B32299"/>
    <w:rsid w:val="00B54AAC"/>
    <w:rsid w:val="00B611DF"/>
    <w:rsid w:val="00B62167"/>
    <w:rsid w:val="00B64C8C"/>
    <w:rsid w:val="00B70D7E"/>
    <w:rsid w:val="00B83F9A"/>
    <w:rsid w:val="00B877D1"/>
    <w:rsid w:val="00B9666C"/>
    <w:rsid w:val="00BE3574"/>
    <w:rsid w:val="00BF2641"/>
    <w:rsid w:val="00C034C2"/>
    <w:rsid w:val="00C124B5"/>
    <w:rsid w:val="00C366A9"/>
    <w:rsid w:val="00C36B02"/>
    <w:rsid w:val="00C561D6"/>
    <w:rsid w:val="00C61444"/>
    <w:rsid w:val="00C754DD"/>
    <w:rsid w:val="00C812B1"/>
    <w:rsid w:val="00C823BD"/>
    <w:rsid w:val="00C95A1A"/>
    <w:rsid w:val="00C97271"/>
    <w:rsid w:val="00CA099E"/>
    <w:rsid w:val="00CA2D60"/>
    <w:rsid w:val="00CB010D"/>
    <w:rsid w:val="00CB34E0"/>
    <w:rsid w:val="00CB69FA"/>
    <w:rsid w:val="00CC5C19"/>
    <w:rsid w:val="00CD6A20"/>
    <w:rsid w:val="00CE7990"/>
    <w:rsid w:val="00CF712C"/>
    <w:rsid w:val="00D202EA"/>
    <w:rsid w:val="00D351BF"/>
    <w:rsid w:val="00D57AFC"/>
    <w:rsid w:val="00D60B3F"/>
    <w:rsid w:val="00D61973"/>
    <w:rsid w:val="00D850E3"/>
    <w:rsid w:val="00D948CC"/>
    <w:rsid w:val="00D95FF4"/>
    <w:rsid w:val="00DA30EE"/>
    <w:rsid w:val="00DB336A"/>
    <w:rsid w:val="00DB4371"/>
    <w:rsid w:val="00DD7F58"/>
    <w:rsid w:val="00DF6B29"/>
    <w:rsid w:val="00E04984"/>
    <w:rsid w:val="00E14AD4"/>
    <w:rsid w:val="00E2770C"/>
    <w:rsid w:val="00E34258"/>
    <w:rsid w:val="00E422A6"/>
    <w:rsid w:val="00E673A8"/>
    <w:rsid w:val="00E7194C"/>
    <w:rsid w:val="00E83C7D"/>
    <w:rsid w:val="00E8482C"/>
    <w:rsid w:val="00E913C2"/>
    <w:rsid w:val="00EB2096"/>
    <w:rsid w:val="00ED1936"/>
    <w:rsid w:val="00ED3D54"/>
    <w:rsid w:val="00ED7CD5"/>
    <w:rsid w:val="00EE456E"/>
    <w:rsid w:val="00F12C52"/>
    <w:rsid w:val="00F26DFD"/>
    <w:rsid w:val="00F54013"/>
    <w:rsid w:val="00F60279"/>
    <w:rsid w:val="00F62A05"/>
    <w:rsid w:val="00FA5F92"/>
    <w:rsid w:val="00FB0A24"/>
    <w:rsid w:val="00FC042A"/>
    <w:rsid w:val="00FD4256"/>
    <w:rsid w:val="00FF0E1A"/>
    <w:rsid w:val="06B354C3"/>
    <w:rsid w:val="2689771F"/>
    <w:rsid w:val="2C412EA7"/>
    <w:rsid w:val="492F5F14"/>
    <w:rsid w:val="55A03EEB"/>
    <w:rsid w:val="5ACA1DB7"/>
    <w:rsid w:val="5DE42FE9"/>
    <w:rsid w:val="62CE7261"/>
    <w:rsid w:val="7A7B7004"/>
    <w:rsid w:val="7F654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69BA4-CA45-4E6D-900E-232F123C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Calibri" w:eastAsia="宋体" w:hAnsi="Calibri"/>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3F5AE-EFBE-432E-A22A-C78A6C10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Destop PC</dc:creator>
  <cp:lastModifiedBy>joker</cp:lastModifiedBy>
  <cp:revision>2</cp:revision>
  <cp:lastPrinted>2023-07-18T09:25:00Z</cp:lastPrinted>
  <dcterms:created xsi:type="dcterms:W3CDTF">2023-07-18T09:44:00Z</dcterms:created>
  <dcterms:modified xsi:type="dcterms:W3CDTF">2023-07-18T09:44:00Z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08C883597D8F46719FDC065DFD5D458A_13</vt:lpwstr>
  </property>
</Properties>
</file>